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A7EE8" w14:textId="07BAE752" w:rsidR="002B75B3" w:rsidRDefault="002B75B3" w:rsidP="00662399">
      <w:pPr>
        <w:pStyle w:val="Heading1"/>
      </w:pPr>
      <w:bookmarkStart w:id="0" w:name="_Toc164260284"/>
      <w:r>
        <w:t>App</w:t>
      </w:r>
      <w:bookmarkEnd w:id="0"/>
      <w:r w:rsidR="002A6B08">
        <w:t xml:space="preserve">endix </w:t>
      </w:r>
      <w:r w:rsidR="004A3138" w:rsidRPr="004A3138">
        <w:t>A</w:t>
      </w:r>
      <w:r w:rsidR="002A6B08" w:rsidRPr="004A3138">
        <w:t>.</w:t>
      </w:r>
      <w:r w:rsidR="008E6E42">
        <w:t>5</w:t>
      </w:r>
      <w:r w:rsidR="00750175">
        <w:t>.</w:t>
      </w:r>
      <w:r w:rsidR="00BF52C1">
        <w:t>3</w:t>
      </w:r>
      <w:r w:rsidR="00750175">
        <w:t xml:space="preserve"> Health Equity and </w:t>
      </w:r>
      <w:r w:rsidR="004A3138">
        <w:t>Access and Functional Needs</w:t>
      </w:r>
    </w:p>
    <w:p w14:paraId="3C748827" w14:textId="77777777" w:rsidR="004A3138" w:rsidRPr="00616BBE" w:rsidRDefault="004A3138" w:rsidP="004A3138">
      <w:pPr>
        <w:pStyle w:val="Heading2"/>
      </w:pPr>
      <w:r w:rsidRPr="002D0550">
        <w:t>Purpose</w:t>
      </w:r>
    </w:p>
    <w:p w14:paraId="3104DB10" w14:textId="0AF533BD" w:rsidR="004A3138" w:rsidRPr="004A3138" w:rsidRDefault="004A3138" w:rsidP="004A3138">
      <w:pPr>
        <w:jc w:val="both"/>
        <w:rPr>
          <w:szCs w:val="22"/>
        </w:rPr>
      </w:pPr>
      <w:r w:rsidRPr="00616BBE">
        <w:rPr>
          <w:szCs w:val="22"/>
        </w:rPr>
        <w:t xml:space="preserve">The purpose of this document is </w:t>
      </w:r>
      <w:r>
        <w:rPr>
          <w:szCs w:val="22"/>
        </w:rPr>
        <w:t xml:space="preserve">to outline the role of the </w:t>
      </w:r>
      <w:r w:rsidRPr="00616BBE">
        <w:rPr>
          <w:szCs w:val="22"/>
        </w:rPr>
        <w:t>Central Minnesota Healthcare Preparedness Coalition (</w:t>
      </w:r>
      <w:r>
        <w:rPr>
          <w:szCs w:val="22"/>
        </w:rPr>
        <w:t>CMHPC</w:t>
      </w:r>
      <w:r w:rsidRPr="00616BBE">
        <w:rPr>
          <w:szCs w:val="22"/>
        </w:rPr>
        <w:t>) in response to</w:t>
      </w:r>
      <w:r>
        <w:rPr>
          <w:szCs w:val="22"/>
        </w:rPr>
        <w:t xml:space="preserve"> an event that includes </w:t>
      </w:r>
      <w:r w:rsidR="00060624">
        <w:rPr>
          <w:szCs w:val="22"/>
        </w:rPr>
        <w:t xml:space="preserve">communities most impacted by disasters. </w:t>
      </w:r>
      <w:r>
        <w:rPr>
          <w:szCs w:val="22"/>
        </w:rPr>
        <w:t xml:space="preserve">  In healthcare it is essential</w:t>
      </w:r>
      <w:r w:rsidR="00060624">
        <w:rPr>
          <w:szCs w:val="22"/>
        </w:rPr>
        <w:t xml:space="preserve"> that</w:t>
      </w:r>
      <w:r>
        <w:rPr>
          <w:szCs w:val="22"/>
        </w:rPr>
        <w:t xml:space="preserve"> </w:t>
      </w:r>
      <w:r w:rsidR="00060624">
        <w:rPr>
          <w:szCs w:val="22"/>
        </w:rPr>
        <w:t>h</w:t>
      </w:r>
      <w:r>
        <w:rPr>
          <w:szCs w:val="22"/>
        </w:rPr>
        <w:t xml:space="preserve">ealth </w:t>
      </w:r>
      <w:r w:rsidR="00060624">
        <w:rPr>
          <w:szCs w:val="22"/>
        </w:rPr>
        <w:t>e</w:t>
      </w:r>
      <w:r>
        <w:rPr>
          <w:szCs w:val="22"/>
        </w:rPr>
        <w:t xml:space="preserve">quity is considered when making decisions. </w:t>
      </w:r>
      <w:r w:rsidRPr="00616BBE">
        <w:rPr>
          <w:szCs w:val="22"/>
        </w:rPr>
        <w:t xml:space="preserve">This </w:t>
      </w:r>
      <w:r>
        <w:rPr>
          <w:szCs w:val="22"/>
        </w:rPr>
        <w:t>chapter</w:t>
      </w:r>
      <w:r w:rsidRPr="00616BBE">
        <w:rPr>
          <w:szCs w:val="22"/>
        </w:rPr>
        <w:t xml:space="preserve"> also provides guidance to the </w:t>
      </w:r>
      <w:r>
        <w:rPr>
          <w:szCs w:val="22"/>
        </w:rPr>
        <w:t>CMHPC</w:t>
      </w:r>
      <w:r w:rsidRPr="00616BBE">
        <w:rPr>
          <w:szCs w:val="22"/>
        </w:rPr>
        <w:t xml:space="preserve"> members and partners for their planning purposes.  </w:t>
      </w:r>
    </w:p>
    <w:p w14:paraId="2254B268" w14:textId="77777777" w:rsidR="004A3138" w:rsidRPr="00FE5DF0" w:rsidRDefault="004A3138" w:rsidP="004A3138">
      <w:pPr>
        <w:pStyle w:val="Heading2"/>
      </w:pPr>
      <w:r w:rsidRPr="00FE5DF0">
        <w:t>Definitions</w:t>
      </w:r>
    </w:p>
    <w:p w14:paraId="7C86E564" w14:textId="7BCE7F92" w:rsidR="00060624" w:rsidRDefault="00060624" w:rsidP="004A3138">
      <w:pPr>
        <w:numPr>
          <w:ilvl w:val="0"/>
          <w:numId w:val="4"/>
        </w:numPr>
        <w:spacing w:after="0" w:line="240" w:lineRule="auto"/>
        <w:jc w:val="both"/>
        <w:rPr>
          <w:szCs w:val="22"/>
        </w:rPr>
      </w:pPr>
      <w:r>
        <w:rPr>
          <w:b/>
          <w:bCs/>
          <w:szCs w:val="22"/>
        </w:rPr>
        <w:t>Communities Most Impacted by Disasters</w:t>
      </w:r>
      <w:r w:rsidR="004A3138">
        <w:rPr>
          <w:szCs w:val="22"/>
        </w:rPr>
        <w:t>:</w:t>
      </w:r>
      <w:r w:rsidR="004A3138" w:rsidRPr="002D0550">
        <w:rPr>
          <w:szCs w:val="22"/>
        </w:rPr>
        <w:t xml:space="preserve"> </w:t>
      </w:r>
    </w:p>
    <w:p w14:paraId="3661EF33" w14:textId="77777777" w:rsidR="00060624" w:rsidRDefault="00060624" w:rsidP="00060624">
      <w:pPr>
        <w:numPr>
          <w:ilvl w:val="1"/>
          <w:numId w:val="4"/>
        </w:numPr>
        <w:spacing w:after="0" w:line="240" w:lineRule="auto"/>
        <w:jc w:val="both"/>
        <w:rPr>
          <w:szCs w:val="22"/>
        </w:rPr>
      </w:pPr>
      <w:r>
        <w:rPr>
          <w:szCs w:val="22"/>
        </w:rPr>
        <w:t>This term is inclusive of:</w:t>
      </w:r>
    </w:p>
    <w:p w14:paraId="4A0E7025" w14:textId="0E8B2D19" w:rsidR="00060624" w:rsidRDefault="00060624" w:rsidP="00226A25">
      <w:pPr>
        <w:numPr>
          <w:ilvl w:val="2"/>
          <w:numId w:val="4"/>
        </w:numPr>
        <w:spacing w:after="0" w:line="240" w:lineRule="auto"/>
        <w:jc w:val="both"/>
        <w:rPr>
          <w:szCs w:val="22"/>
        </w:rPr>
      </w:pPr>
      <w:r>
        <w:rPr>
          <w:szCs w:val="22"/>
        </w:rPr>
        <w:t xml:space="preserve">At-risk individuals, including children, pregnant individuals, older adults, individuals with disabilities, or others who have access and functional needs in the event of an emergency. </w:t>
      </w:r>
    </w:p>
    <w:p w14:paraId="08ACF00B" w14:textId="0AE0ACB1" w:rsidR="00060624" w:rsidRDefault="00060624" w:rsidP="00226A25">
      <w:pPr>
        <w:numPr>
          <w:ilvl w:val="2"/>
          <w:numId w:val="4"/>
        </w:numPr>
        <w:spacing w:after="0" w:line="240" w:lineRule="auto"/>
        <w:jc w:val="both"/>
        <w:rPr>
          <w:szCs w:val="22"/>
        </w:rPr>
      </w:pPr>
      <w:r>
        <w:rPr>
          <w:szCs w:val="22"/>
        </w:rPr>
        <w:t>Individuals experiencing certain geographic characteristics, such as living in a rural area.</w:t>
      </w:r>
    </w:p>
    <w:p w14:paraId="6DD3BC06" w14:textId="063AA0A2" w:rsidR="00060624" w:rsidRDefault="00060624" w:rsidP="00226A25">
      <w:pPr>
        <w:numPr>
          <w:ilvl w:val="2"/>
          <w:numId w:val="4"/>
        </w:numPr>
        <w:spacing w:after="0" w:line="240" w:lineRule="auto"/>
        <w:jc w:val="both"/>
        <w:rPr>
          <w:szCs w:val="22"/>
        </w:rPr>
      </w:pPr>
      <w:r>
        <w:rPr>
          <w:szCs w:val="22"/>
        </w:rPr>
        <w:t>Populations facing structural inequities, which include historically or currently marginalized communities, may also be considered at-risk.</w:t>
      </w:r>
    </w:p>
    <w:p w14:paraId="086539A7" w14:textId="04F5C046" w:rsidR="00060624" w:rsidRDefault="00060624" w:rsidP="00060624">
      <w:pPr>
        <w:numPr>
          <w:ilvl w:val="2"/>
          <w:numId w:val="4"/>
        </w:numPr>
        <w:spacing w:after="0" w:line="240" w:lineRule="auto"/>
        <w:jc w:val="both"/>
        <w:rPr>
          <w:szCs w:val="22"/>
        </w:rPr>
      </w:pPr>
      <w:r>
        <w:rPr>
          <w:szCs w:val="22"/>
        </w:rPr>
        <w:t xml:space="preserve">Other populations disproportionately impacted by disasters in the Central region, as determined through data collection and assessments. </w:t>
      </w:r>
    </w:p>
    <w:p w14:paraId="5ABF131A" w14:textId="160242D9" w:rsidR="00060624" w:rsidRPr="00060624" w:rsidRDefault="00060624" w:rsidP="00226A25">
      <w:pPr>
        <w:numPr>
          <w:ilvl w:val="2"/>
          <w:numId w:val="4"/>
        </w:numPr>
        <w:spacing w:after="0" w:line="240" w:lineRule="auto"/>
        <w:jc w:val="both"/>
        <w:rPr>
          <w:szCs w:val="22"/>
        </w:rPr>
      </w:pPr>
      <w:r>
        <w:rPr>
          <w:szCs w:val="22"/>
        </w:rPr>
        <w:t>Examples of at-risk populations may include but are not limited to children, pregnant women, older adults, people with disabilities, people from diverse cultures, people with limited English proficiency, people with limited access to transportation, people with limited access to financial resources, people experiencing homelessness, people who have chronic health conditions, and people who have pharmacological dependency.</w:t>
      </w:r>
    </w:p>
    <w:p w14:paraId="712EDACE" w14:textId="77777777" w:rsidR="00060624" w:rsidRDefault="00060624" w:rsidP="004A3138">
      <w:pPr>
        <w:numPr>
          <w:ilvl w:val="0"/>
          <w:numId w:val="4"/>
        </w:numPr>
        <w:spacing w:after="0" w:line="240" w:lineRule="auto"/>
        <w:jc w:val="both"/>
        <w:rPr>
          <w:szCs w:val="22"/>
        </w:rPr>
      </w:pPr>
      <w:r>
        <w:rPr>
          <w:b/>
          <w:bCs/>
          <w:szCs w:val="22"/>
        </w:rPr>
        <w:t>Access and Functional Needs</w:t>
      </w:r>
      <w:r w:rsidRPr="00226A25">
        <w:rPr>
          <w:szCs w:val="22"/>
        </w:rPr>
        <w:t>:</w:t>
      </w:r>
    </w:p>
    <w:p w14:paraId="264CFF19" w14:textId="6CB4DA7D" w:rsidR="004A3138" w:rsidRPr="002D0550" w:rsidRDefault="004A3138" w:rsidP="00226A25">
      <w:pPr>
        <w:numPr>
          <w:ilvl w:val="1"/>
          <w:numId w:val="4"/>
        </w:numPr>
        <w:spacing w:after="0" w:line="240" w:lineRule="auto"/>
        <w:jc w:val="both"/>
        <w:rPr>
          <w:szCs w:val="22"/>
        </w:rPr>
      </w:pPr>
      <w:r w:rsidRPr="002D0550">
        <w:rPr>
          <w:szCs w:val="22"/>
        </w:rPr>
        <w:t xml:space="preserve">people with access and functional needs that may interfere with their ability to access or receive medical care before, during, or after a disaster or emergency. Irrespective of specific diagnosis, status, or label, the term “access and functional needs” is a broad set of common, crosscutting, access, and function-based needs. </w:t>
      </w:r>
    </w:p>
    <w:p w14:paraId="72E32836" w14:textId="77777777" w:rsidR="004A3138" w:rsidRPr="002D0550" w:rsidRDefault="004A3138" w:rsidP="00226A25">
      <w:pPr>
        <w:numPr>
          <w:ilvl w:val="2"/>
          <w:numId w:val="4"/>
        </w:numPr>
        <w:spacing w:after="0" w:line="240" w:lineRule="auto"/>
        <w:jc w:val="both"/>
        <w:rPr>
          <w:szCs w:val="22"/>
        </w:rPr>
      </w:pPr>
      <w:r w:rsidRPr="002D0550">
        <w:rPr>
          <w:szCs w:val="22"/>
        </w:rPr>
        <w:t xml:space="preserve">Access-based needs require ensuring that resources are accessible to all individuals, such as social services, accommodations, information, transportation, medications to maintain health, </w:t>
      </w:r>
      <w:r>
        <w:rPr>
          <w:szCs w:val="22"/>
        </w:rPr>
        <w:t>etc</w:t>
      </w:r>
      <w:r w:rsidRPr="002D0550">
        <w:rPr>
          <w:szCs w:val="22"/>
        </w:rPr>
        <w:t>.</w:t>
      </w:r>
    </w:p>
    <w:p w14:paraId="0F8AA06C" w14:textId="77777777" w:rsidR="004A3138" w:rsidRDefault="004A3138" w:rsidP="00226A25">
      <w:pPr>
        <w:numPr>
          <w:ilvl w:val="2"/>
          <w:numId w:val="4"/>
        </w:numPr>
        <w:spacing w:after="0" w:line="240" w:lineRule="auto"/>
        <w:jc w:val="both"/>
        <w:rPr>
          <w:szCs w:val="22"/>
        </w:rPr>
      </w:pPr>
      <w:r w:rsidRPr="002D0550">
        <w:rPr>
          <w:szCs w:val="22"/>
        </w:rPr>
        <w:t>Function-based needs refer to restrictions or limitations an individual may have that requires assistance before, during, and/or after a disaster or public health emergency.</w:t>
      </w:r>
    </w:p>
    <w:p w14:paraId="2B8E41C1" w14:textId="0D885639" w:rsidR="004A3138" w:rsidRPr="002D0550" w:rsidRDefault="004A3138" w:rsidP="004A3138">
      <w:pPr>
        <w:numPr>
          <w:ilvl w:val="0"/>
          <w:numId w:val="4"/>
        </w:numPr>
        <w:spacing w:after="0" w:line="240" w:lineRule="auto"/>
        <w:jc w:val="both"/>
        <w:rPr>
          <w:szCs w:val="22"/>
        </w:rPr>
      </w:pPr>
      <w:r w:rsidRPr="00A72DF2">
        <w:rPr>
          <w:b/>
          <w:bCs/>
          <w:szCs w:val="22"/>
        </w:rPr>
        <w:t>Health Equity</w:t>
      </w:r>
      <w:r>
        <w:rPr>
          <w:szCs w:val="22"/>
        </w:rPr>
        <w:t>: The Center for Disease Control and Prevention (</w:t>
      </w:r>
      <w:r w:rsidR="00114AA1">
        <w:rPr>
          <w:szCs w:val="22"/>
        </w:rPr>
        <w:t>CDC</w:t>
      </w:r>
      <w:r>
        <w:rPr>
          <w:szCs w:val="22"/>
        </w:rPr>
        <w:t xml:space="preserve">) defines Health Equity as </w:t>
      </w:r>
      <w:bookmarkStart w:id="1" w:name="_Hlk170128669"/>
      <w:r>
        <w:rPr>
          <w:szCs w:val="22"/>
        </w:rPr>
        <w:t xml:space="preserve">the state in which everyone has a fair and just opportunity to attain their highest level of health. Achieving this requires focused and ongoing societal efforts to address historical and </w:t>
      </w:r>
      <w:r>
        <w:rPr>
          <w:szCs w:val="22"/>
        </w:rPr>
        <w:lastRenderedPageBreak/>
        <w:t>contemporary injustices; overcome economic, social, and other obstacles to health and healthcare; and eliminate preventable disparities</w:t>
      </w:r>
      <w:bookmarkEnd w:id="1"/>
      <w:r>
        <w:rPr>
          <w:szCs w:val="22"/>
        </w:rPr>
        <w:t>.</w:t>
      </w:r>
    </w:p>
    <w:p w14:paraId="0B7D5638" w14:textId="77777777" w:rsidR="004A3138" w:rsidRPr="002D0550" w:rsidRDefault="004A3138" w:rsidP="004A3138">
      <w:pPr>
        <w:numPr>
          <w:ilvl w:val="0"/>
          <w:numId w:val="4"/>
        </w:numPr>
        <w:spacing w:after="0" w:line="240" w:lineRule="auto"/>
        <w:jc w:val="both"/>
        <w:rPr>
          <w:szCs w:val="22"/>
        </w:rPr>
      </w:pPr>
      <w:r w:rsidRPr="00A72DF2">
        <w:rPr>
          <w:b/>
          <w:bCs/>
          <w:szCs w:val="22"/>
        </w:rPr>
        <w:t>Special Medical Needs:</w:t>
      </w:r>
      <w:r w:rsidRPr="002D0550">
        <w:rPr>
          <w:szCs w:val="22"/>
        </w:rPr>
        <w:t xml:space="preserve"> a person with medical special needs includes someone who:</w:t>
      </w:r>
    </w:p>
    <w:p w14:paraId="6261524C" w14:textId="77777777" w:rsidR="004A3138" w:rsidRPr="002D0550" w:rsidRDefault="004A3138" w:rsidP="004A3138">
      <w:pPr>
        <w:numPr>
          <w:ilvl w:val="1"/>
          <w:numId w:val="4"/>
        </w:numPr>
        <w:spacing w:after="0" w:line="240" w:lineRule="auto"/>
        <w:rPr>
          <w:szCs w:val="22"/>
        </w:rPr>
      </w:pPr>
      <w:r w:rsidRPr="002D0550">
        <w:rPr>
          <w:szCs w:val="22"/>
        </w:rPr>
        <w:t xml:space="preserve">would need assistance during evacuation and sheltering because of physical or mental disabilities  </w:t>
      </w:r>
    </w:p>
    <w:p w14:paraId="535D87E5" w14:textId="51271E3E" w:rsidR="004A3138" w:rsidRDefault="004A3138" w:rsidP="00750175">
      <w:pPr>
        <w:numPr>
          <w:ilvl w:val="1"/>
          <w:numId w:val="4"/>
        </w:numPr>
        <w:spacing w:after="0" w:line="240" w:lineRule="auto"/>
        <w:rPr>
          <w:szCs w:val="22"/>
        </w:rPr>
      </w:pPr>
      <w:r w:rsidRPr="002D0550">
        <w:rPr>
          <w:szCs w:val="22"/>
        </w:rPr>
        <w:t xml:space="preserve">requires the level of care and resources beyond the basic first aid level of care that is available in the shelters for the general populations </w:t>
      </w:r>
    </w:p>
    <w:p w14:paraId="46333F2C" w14:textId="2B79DFF5" w:rsidR="004A3138" w:rsidRPr="002D0550" w:rsidRDefault="004A3138" w:rsidP="004A3138">
      <w:pPr>
        <w:pStyle w:val="Heading2"/>
      </w:pPr>
      <w:r w:rsidRPr="002D0550">
        <w:t xml:space="preserve">Role of the </w:t>
      </w:r>
      <w:r>
        <w:t>CMHPC</w:t>
      </w:r>
      <w:r w:rsidRPr="002D0550">
        <w:t xml:space="preserve"> in Planning for At-Risk Individuals,</w:t>
      </w:r>
      <w:r>
        <w:t xml:space="preserve"> </w:t>
      </w:r>
      <w:r w:rsidRPr="002D0550">
        <w:t xml:space="preserve">Functional Needs, and Special Medical Needs </w:t>
      </w:r>
    </w:p>
    <w:p w14:paraId="370B52CD" w14:textId="77777777" w:rsidR="004A3138" w:rsidRPr="00CC1004" w:rsidRDefault="004A3138" w:rsidP="004A3138">
      <w:pPr>
        <w:numPr>
          <w:ilvl w:val="2"/>
          <w:numId w:val="5"/>
        </w:numPr>
        <w:spacing w:after="0" w:line="240" w:lineRule="auto"/>
        <w:jc w:val="both"/>
        <w:rPr>
          <w:szCs w:val="22"/>
        </w:rPr>
      </w:pPr>
      <w:r w:rsidRPr="00CC1004">
        <w:rPr>
          <w:szCs w:val="22"/>
        </w:rPr>
        <w:t xml:space="preserve">Local Emergency Management and </w:t>
      </w:r>
      <w:r>
        <w:rPr>
          <w:szCs w:val="22"/>
        </w:rPr>
        <w:t xml:space="preserve">Local </w:t>
      </w:r>
      <w:r w:rsidRPr="00CC1004">
        <w:rPr>
          <w:szCs w:val="22"/>
        </w:rPr>
        <w:t xml:space="preserve">Public Health are </w:t>
      </w:r>
      <w:r>
        <w:rPr>
          <w:szCs w:val="22"/>
        </w:rPr>
        <w:t xml:space="preserve">primarily </w:t>
      </w:r>
      <w:r w:rsidRPr="00CC1004">
        <w:rPr>
          <w:szCs w:val="22"/>
        </w:rPr>
        <w:t>responsible for Mass Sheltering plans, w</w:t>
      </w:r>
      <w:r>
        <w:rPr>
          <w:szCs w:val="22"/>
        </w:rPr>
        <w:t>hich include At-Risk Individuals, Access and Functional Needs, and Special Medical Needs</w:t>
      </w:r>
      <w:r w:rsidRPr="00CC1004">
        <w:rPr>
          <w:szCs w:val="22"/>
        </w:rPr>
        <w:t xml:space="preserve">. </w:t>
      </w:r>
      <w:r>
        <w:rPr>
          <w:szCs w:val="22"/>
        </w:rPr>
        <w:t xml:space="preserve">Healthcare facilities may be asked to assist with certain medical needs that may not be available in a shelter environment.  </w:t>
      </w:r>
    </w:p>
    <w:p w14:paraId="487457D1" w14:textId="77777777" w:rsidR="004A3138" w:rsidRPr="00CC1004" w:rsidRDefault="004A3138" w:rsidP="004A3138">
      <w:pPr>
        <w:numPr>
          <w:ilvl w:val="2"/>
          <w:numId w:val="5"/>
        </w:numPr>
        <w:spacing w:after="0" w:line="240" w:lineRule="auto"/>
        <w:jc w:val="both"/>
        <w:rPr>
          <w:szCs w:val="22"/>
        </w:rPr>
      </w:pPr>
      <w:r w:rsidRPr="00CC1004">
        <w:rPr>
          <w:szCs w:val="22"/>
        </w:rPr>
        <w:t xml:space="preserve">Mass Sheltering Operations will occur in accordance with local Emergency Operations Plans (EOPs). Refer to local EOPs for reference.  </w:t>
      </w:r>
    </w:p>
    <w:p w14:paraId="3259C27F" w14:textId="77777777" w:rsidR="004A3138" w:rsidRPr="004A6B90" w:rsidRDefault="004A3138" w:rsidP="004A3138">
      <w:pPr>
        <w:numPr>
          <w:ilvl w:val="2"/>
          <w:numId w:val="5"/>
        </w:numPr>
        <w:spacing w:after="0" w:line="240" w:lineRule="auto"/>
        <w:jc w:val="both"/>
        <w:rPr>
          <w:szCs w:val="22"/>
        </w:rPr>
      </w:pPr>
      <w:r>
        <w:rPr>
          <w:szCs w:val="22"/>
        </w:rPr>
        <w:t xml:space="preserve">The CMHPC will assist in providing information and resources in the pre-planning, response, and recovery as needed in order to </w:t>
      </w:r>
      <w:r w:rsidRPr="004A6B90">
        <w:rPr>
          <w:szCs w:val="22"/>
        </w:rPr>
        <w:t xml:space="preserve">help lessen the impact especially during response and recovery. </w:t>
      </w:r>
    </w:p>
    <w:p w14:paraId="74BCB5C1" w14:textId="763DE63C" w:rsidR="002B75B3" w:rsidRPr="00750175" w:rsidRDefault="004A3138" w:rsidP="002A6B08">
      <w:pPr>
        <w:numPr>
          <w:ilvl w:val="2"/>
          <w:numId w:val="5"/>
        </w:numPr>
        <w:spacing w:after="0" w:line="240" w:lineRule="auto"/>
        <w:jc w:val="both"/>
        <w:rPr>
          <w:szCs w:val="22"/>
        </w:rPr>
      </w:pPr>
      <w:r w:rsidRPr="004A6B90">
        <w:rPr>
          <w:szCs w:val="22"/>
        </w:rPr>
        <w:t>The</w:t>
      </w:r>
      <w:r>
        <w:rPr>
          <w:szCs w:val="22"/>
        </w:rPr>
        <w:t xml:space="preserve"> </w:t>
      </w:r>
      <w:r w:rsidRPr="004A6B90">
        <w:rPr>
          <w:szCs w:val="22"/>
        </w:rPr>
        <w:t xml:space="preserve">Central Region HMAC may be activated to assist with the response.  See </w:t>
      </w:r>
      <w:r>
        <w:rPr>
          <w:szCs w:val="22"/>
        </w:rPr>
        <w:t>Chapter</w:t>
      </w:r>
      <w:r w:rsidRPr="004A6B90">
        <w:rPr>
          <w:szCs w:val="22"/>
        </w:rPr>
        <w:t xml:space="preserve"> 1: </w:t>
      </w:r>
      <w:r>
        <w:rPr>
          <w:szCs w:val="22"/>
        </w:rPr>
        <w:t>CMHPC</w:t>
      </w:r>
      <w:r w:rsidRPr="004A6B90">
        <w:rPr>
          <w:szCs w:val="22"/>
        </w:rPr>
        <w:t xml:space="preserve"> Regional Coordination Plan.  </w:t>
      </w:r>
    </w:p>
    <w:p w14:paraId="0695A24E" w14:textId="77777777" w:rsidR="004A3138" w:rsidRPr="00616BBE" w:rsidRDefault="004A3138" w:rsidP="004A3138">
      <w:pPr>
        <w:pStyle w:val="Heading2"/>
      </w:pPr>
      <w:r w:rsidRPr="00616BBE">
        <w:t>Planning Considerations</w:t>
      </w:r>
    </w:p>
    <w:p w14:paraId="3580411C" w14:textId="77777777" w:rsidR="004A3138" w:rsidRDefault="004A3138" w:rsidP="004A3138">
      <w:pPr>
        <w:numPr>
          <w:ilvl w:val="2"/>
          <w:numId w:val="6"/>
        </w:numPr>
        <w:spacing w:after="0" w:line="240" w:lineRule="auto"/>
        <w:jc w:val="both"/>
        <w:rPr>
          <w:szCs w:val="22"/>
        </w:rPr>
      </w:pPr>
      <w:r>
        <w:rPr>
          <w:szCs w:val="22"/>
        </w:rPr>
        <w:t>Planning at a healthcare level may include working with entities within the healthcare agency who interact with people who have a healthcare need that extends outside the agency. Examples may include those who are on or need oxygen, dialysis, infusions, or other medical device, medication, or assistance routinely causing them to interact with a healthcare entity.</w:t>
      </w:r>
    </w:p>
    <w:p w14:paraId="144EA08C" w14:textId="77777777" w:rsidR="004A3138" w:rsidRDefault="004A3138" w:rsidP="004A3138">
      <w:pPr>
        <w:numPr>
          <w:ilvl w:val="2"/>
          <w:numId w:val="6"/>
        </w:numPr>
        <w:spacing w:after="0" w:line="240" w:lineRule="auto"/>
        <w:jc w:val="both"/>
        <w:rPr>
          <w:szCs w:val="22"/>
        </w:rPr>
      </w:pPr>
      <w:r>
        <w:rPr>
          <w:szCs w:val="22"/>
        </w:rPr>
        <w:t xml:space="preserve">This planning could take the form of asking individual sections within a healthcare organization to discuss with patients how to manage during a crisis if access to a healthcare agency may be in jeopardy. </w:t>
      </w:r>
    </w:p>
    <w:p w14:paraId="2771D861" w14:textId="77777777" w:rsidR="004A3138" w:rsidRDefault="004A3138" w:rsidP="004A3138">
      <w:pPr>
        <w:numPr>
          <w:ilvl w:val="2"/>
          <w:numId w:val="6"/>
        </w:numPr>
        <w:spacing w:after="0" w:line="240" w:lineRule="auto"/>
        <w:jc w:val="both"/>
        <w:rPr>
          <w:szCs w:val="22"/>
        </w:rPr>
      </w:pPr>
      <w:r>
        <w:rPr>
          <w:szCs w:val="22"/>
        </w:rPr>
        <w:t>The planning could also cause the specific section within a healthcare organization to do planning in order to pre-identify patients considered at risk, if access to healthcare or services are in jeopardy. This planning could take the form of prioritizing patients that need more immediate access than others. Working with other local disaster personnel could assure persons whom are considered more in need are accounted for in a timelier manner during crisis settings.</w:t>
      </w:r>
    </w:p>
    <w:p w14:paraId="5586B995" w14:textId="77777777" w:rsidR="004A3138" w:rsidRDefault="004A3138" w:rsidP="004A3138">
      <w:pPr>
        <w:numPr>
          <w:ilvl w:val="2"/>
          <w:numId w:val="6"/>
        </w:numPr>
        <w:spacing w:after="0" w:line="240" w:lineRule="auto"/>
        <w:jc w:val="both"/>
        <w:rPr>
          <w:szCs w:val="22"/>
        </w:rPr>
      </w:pPr>
      <w:r>
        <w:rPr>
          <w:szCs w:val="22"/>
        </w:rPr>
        <w:t xml:space="preserve">Healthcare agencies should be prepared to accept patients during crisis that would otherwise be consider outpatients due to a lack of items such as oxygen, electricity, and other medical items needed to deliver medications or functions that were curtailed at home due to the crisis variables. </w:t>
      </w:r>
    </w:p>
    <w:p w14:paraId="2C8A79BF" w14:textId="77777777" w:rsidR="004A3138" w:rsidRDefault="004A3138" w:rsidP="004A3138">
      <w:pPr>
        <w:numPr>
          <w:ilvl w:val="2"/>
          <w:numId w:val="6"/>
        </w:numPr>
        <w:spacing w:after="0" w:line="240" w:lineRule="auto"/>
        <w:jc w:val="both"/>
        <w:rPr>
          <w:szCs w:val="22"/>
        </w:rPr>
      </w:pPr>
      <w:r>
        <w:rPr>
          <w:szCs w:val="22"/>
        </w:rPr>
        <w:t>Medical surge should also be accounted for during crisis events not only for those directly injured, but also for patients who have exacerbations of medical conditions or who are in need of medical supplies, medicines, or device otherwise not planned on but created by the crisis event.</w:t>
      </w:r>
    </w:p>
    <w:p w14:paraId="1C33185B" w14:textId="265F5BBC" w:rsidR="004A3138" w:rsidRDefault="004A3138" w:rsidP="00750175">
      <w:pPr>
        <w:numPr>
          <w:ilvl w:val="2"/>
          <w:numId w:val="6"/>
        </w:numPr>
        <w:spacing w:after="0" w:line="240" w:lineRule="auto"/>
        <w:jc w:val="both"/>
        <w:rPr>
          <w:szCs w:val="22"/>
        </w:rPr>
      </w:pPr>
      <w:r>
        <w:rPr>
          <w:szCs w:val="22"/>
        </w:rPr>
        <w:t>Increases in staffing, supplies, and entropy are all impacts during crisis and disaster settings.</w:t>
      </w:r>
      <w:r w:rsidRPr="00750175">
        <w:rPr>
          <w:szCs w:val="22"/>
        </w:rPr>
        <w:t xml:space="preserve"> </w:t>
      </w:r>
    </w:p>
    <w:p w14:paraId="1E9F2AEE" w14:textId="7B1EFC7A" w:rsidR="00155C7B" w:rsidRPr="00750175" w:rsidRDefault="00155C7B" w:rsidP="00750175">
      <w:pPr>
        <w:numPr>
          <w:ilvl w:val="2"/>
          <w:numId w:val="6"/>
        </w:numPr>
        <w:spacing w:after="0" w:line="240" w:lineRule="auto"/>
        <w:jc w:val="both"/>
        <w:rPr>
          <w:szCs w:val="22"/>
        </w:rPr>
      </w:pPr>
      <w:r>
        <w:rPr>
          <w:szCs w:val="22"/>
        </w:rPr>
        <w:t>Planning may also include engaging and developing relationships with members or representatives of communities most impacted by disasters.</w:t>
      </w:r>
    </w:p>
    <w:p w14:paraId="6F3A2815" w14:textId="77777777" w:rsidR="004A3138" w:rsidRPr="00616BBE" w:rsidRDefault="004A3138" w:rsidP="004A3138">
      <w:pPr>
        <w:pStyle w:val="Heading2"/>
      </w:pPr>
      <w:r w:rsidRPr="00616BBE">
        <w:lastRenderedPageBreak/>
        <w:t xml:space="preserve">Resources </w:t>
      </w:r>
    </w:p>
    <w:p w14:paraId="7750006A" w14:textId="77777777" w:rsidR="00114AA1" w:rsidRDefault="00114AA1" w:rsidP="00114AA1">
      <w:pPr>
        <w:pStyle w:val="ListParagraph"/>
        <w:numPr>
          <w:ilvl w:val="0"/>
          <w:numId w:val="7"/>
        </w:numPr>
      </w:pPr>
      <w:r>
        <w:t>Minnesota Department of health</w:t>
      </w:r>
    </w:p>
    <w:p w14:paraId="532CD3CC" w14:textId="77777777" w:rsidR="00114AA1" w:rsidRDefault="00226A25" w:rsidP="00114AA1">
      <w:pPr>
        <w:pStyle w:val="ListParagraph"/>
        <w:numPr>
          <w:ilvl w:val="1"/>
          <w:numId w:val="7"/>
        </w:numPr>
      </w:pPr>
      <w:hyperlink r:id="rId8" w:history="1">
        <w:r w:rsidR="00114AA1" w:rsidRPr="00264FF4">
          <w:rPr>
            <w:rStyle w:val="Hyperlink"/>
          </w:rPr>
          <w:t>Center for Health Equity</w:t>
        </w:r>
      </w:hyperlink>
    </w:p>
    <w:p w14:paraId="79C62B86" w14:textId="77777777" w:rsidR="00114AA1" w:rsidRDefault="00114AA1" w:rsidP="00114AA1">
      <w:pPr>
        <w:pStyle w:val="ListParagraph"/>
        <w:numPr>
          <w:ilvl w:val="2"/>
          <w:numId w:val="7"/>
        </w:numPr>
      </w:pPr>
      <w:r>
        <w:t xml:space="preserve">This center was created to help improve health equity statewide. Coalition members are strongly encouraged to participate in health equity training and programs. </w:t>
      </w:r>
    </w:p>
    <w:p w14:paraId="42809B88" w14:textId="77777777" w:rsidR="00114AA1" w:rsidRDefault="00226A25" w:rsidP="00114AA1">
      <w:pPr>
        <w:pStyle w:val="ListParagraph"/>
        <w:numPr>
          <w:ilvl w:val="1"/>
          <w:numId w:val="7"/>
        </w:numPr>
      </w:pPr>
      <w:hyperlink r:id="rId9" w:history="1">
        <w:r w:rsidR="00114AA1" w:rsidRPr="00264FF4">
          <w:rPr>
            <w:rStyle w:val="Hyperlink"/>
          </w:rPr>
          <w:t>Health Equity Networks</w:t>
        </w:r>
      </w:hyperlink>
    </w:p>
    <w:p w14:paraId="5ADB80F4" w14:textId="77777777" w:rsidR="00114AA1" w:rsidRDefault="00114AA1" w:rsidP="00114AA1">
      <w:pPr>
        <w:pStyle w:val="ListParagraph"/>
        <w:numPr>
          <w:ilvl w:val="2"/>
          <w:numId w:val="7"/>
        </w:numPr>
      </w:pPr>
      <w:r>
        <w:t>These networks connect different professionals and agencies to collaborate on health equity efforts and community issues.</w:t>
      </w:r>
    </w:p>
    <w:p w14:paraId="31EEF499" w14:textId="77777777" w:rsidR="00114AA1" w:rsidRDefault="00114AA1" w:rsidP="00114AA1">
      <w:pPr>
        <w:pStyle w:val="ListParagraph"/>
        <w:numPr>
          <w:ilvl w:val="2"/>
          <w:numId w:val="7"/>
        </w:numPr>
      </w:pPr>
      <w:r>
        <w:t>There are various networks throughout the state. These networks meet regularly and allow anyone to join their meetings. Coalition members are encouraged to engage with these networks through attendance of regular meetings, or subscription to the networks’ newsletter.</w:t>
      </w:r>
    </w:p>
    <w:p w14:paraId="372A50E6" w14:textId="77777777" w:rsidR="00114AA1" w:rsidRDefault="00114AA1" w:rsidP="00114AA1">
      <w:pPr>
        <w:pStyle w:val="ListParagraph"/>
        <w:numPr>
          <w:ilvl w:val="0"/>
          <w:numId w:val="7"/>
        </w:numPr>
      </w:pPr>
      <w:r>
        <w:t>ASPR TRACIE</w:t>
      </w:r>
    </w:p>
    <w:p w14:paraId="6D6E4DAF" w14:textId="77777777" w:rsidR="00114AA1" w:rsidRDefault="00226A25" w:rsidP="00114AA1">
      <w:pPr>
        <w:pStyle w:val="ListParagraph"/>
        <w:numPr>
          <w:ilvl w:val="1"/>
          <w:numId w:val="7"/>
        </w:numPr>
      </w:pPr>
      <w:hyperlink r:id="rId10" w:history="1">
        <w:r w:rsidR="00114AA1" w:rsidRPr="00264FF4">
          <w:rPr>
            <w:rStyle w:val="Hyperlink"/>
          </w:rPr>
          <w:t>HHS/ASPR Access and Functional Needs</w:t>
        </w:r>
      </w:hyperlink>
    </w:p>
    <w:p w14:paraId="3BA73360" w14:textId="77777777" w:rsidR="00114AA1" w:rsidRDefault="00114AA1" w:rsidP="00114AA1">
      <w:pPr>
        <w:pStyle w:val="ListParagraph"/>
        <w:numPr>
          <w:ilvl w:val="2"/>
          <w:numId w:val="7"/>
        </w:numPr>
      </w:pPr>
      <w:r>
        <w:t>Web-based training to define AFN and provide tools and resources to help professionals plan for these populations</w:t>
      </w:r>
    </w:p>
    <w:p w14:paraId="186ACD02" w14:textId="77777777" w:rsidR="00114AA1" w:rsidRDefault="00114AA1" w:rsidP="00114AA1">
      <w:pPr>
        <w:pStyle w:val="ListParagraph"/>
        <w:numPr>
          <w:ilvl w:val="0"/>
          <w:numId w:val="7"/>
        </w:numPr>
      </w:pPr>
      <w:r>
        <w:t>Centers for Disease Control and Prevention</w:t>
      </w:r>
    </w:p>
    <w:p w14:paraId="5447851D" w14:textId="77777777" w:rsidR="00114AA1" w:rsidRDefault="00226A25" w:rsidP="00114AA1">
      <w:pPr>
        <w:pStyle w:val="ListParagraph"/>
        <w:numPr>
          <w:ilvl w:val="1"/>
          <w:numId w:val="7"/>
        </w:numPr>
      </w:pPr>
      <w:hyperlink r:id="rId11" w:anchor=":~:text=Health%20equity%20is%20when%20everyone,be%20as%20healthy%20as%20possible.&amp;text=Health%20equity%20can%20be%20characterized,that%20promote%20and%20protect%20health." w:history="1">
        <w:r w:rsidR="00114AA1" w:rsidRPr="00264FF4">
          <w:rPr>
            <w:rStyle w:val="Hyperlink"/>
          </w:rPr>
          <w:t>Paving the Road to Health Equity</w:t>
        </w:r>
      </w:hyperlink>
    </w:p>
    <w:p w14:paraId="56CA9D00" w14:textId="77777777" w:rsidR="00114AA1" w:rsidRPr="00264FF4" w:rsidRDefault="00114AA1" w:rsidP="00114AA1">
      <w:pPr>
        <w:pStyle w:val="ListParagraph"/>
        <w:numPr>
          <w:ilvl w:val="2"/>
          <w:numId w:val="7"/>
        </w:numPr>
      </w:pPr>
      <w:r>
        <w:t>Webpage with various resources to further health equity activities and improve health among diverse populations</w:t>
      </w:r>
    </w:p>
    <w:p w14:paraId="6D203101" w14:textId="77777777" w:rsidR="004A3138" w:rsidRDefault="004A3138" w:rsidP="002A6B08"/>
    <w:p w14:paraId="641D9221" w14:textId="77777777" w:rsidR="00821705" w:rsidRPr="00821705" w:rsidRDefault="00821705" w:rsidP="00821705"/>
    <w:p w14:paraId="7353D159" w14:textId="77777777" w:rsidR="00821705" w:rsidRPr="00821705" w:rsidRDefault="00821705" w:rsidP="00821705"/>
    <w:p w14:paraId="37FD62D4" w14:textId="77777777" w:rsidR="00821705" w:rsidRPr="00821705" w:rsidRDefault="00821705" w:rsidP="00821705"/>
    <w:p w14:paraId="0FFEC557" w14:textId="53D6ACB0" w:rsidR="00821705" w:rsidRPr="00821705" w:rsidRDefault="00821705" w:rsidP="00821705">
      <w:pPr>
        <w:tabs>
          <w:tab w:val="left" w:pos="5813"/>
        </w:tabs>
        <w:sectPr w:rsidR="00821705" w:rsidRPr="00821705" w:rsidSect="008E6E4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0" w:footer="720" w:gutter="0"/>
          <w:pgNumType w:start="1"/>
          <w:cols w:space="720"/>
          <w:docGrid w:linePitch="360"/>
        </w:sectPr>
      </w:pPr>
    </w:p>
    <w:p w14:paraId="47C1BA0B" w14:textId="39EA98EA" w:rsidR="002B75B3" w:rsidRDefault="002B75B3" w:rsidP="00662399">
      <w:pPr>
        <w:pStyle w:val="Heading1"/>
      </w:pPr>
      <w:bookmarkStart w:id="2" w:name="_Toc164260285"/>
      <w:r>
        <w:t>Record of Changes</w:t>
      </w:r>
      <w:bookmarkEnd w:id="2"/>
    </w:p>
    <w:p w14:paraId="6EB5585A" w14:textId="77777777" w:rsidR="00662399" w:rsidRPr="00662399" w:rsidRDefault="00662399" w:rsidP="002A6B08"/>
    <w:tbl>
      <w:tblPr>
        <w:tblStyle w:val="TableGrid"/>
        <w:tblW w:w="0" w:type="auto"/>
        <w:tblLook w:val="04A0" w:firstRow="1" w:lastRow="0" w:firstColumn="1" w:lastColumn="0" w:noHBand="0" w:noVBand="1"/>
      </w:tblPr>
      <w:tblGrid>
        <w:gridCol w:w="2337"/>
        <w:gridCol w:w="3418"/>
        <w:gridCol w:w="1980"/>
        <w:gridCol w:w="1615"/>
      </w:tblGrid>
      <w:tr w:rsidR="00662399" w14:paraId="304FD838" w14:textId="77777777" w:rsidTr="00AD214E">
        <w:tc>
          <w:tcPr>
            <w:tcW w:w="2337" w:type="dxa"/>
            <w:shd w:val="clear" w:color="auto" w:fill="832630"/>
          </w:tcPr>
          <w:p w14:paraId="49A5E821" w14:textId="68972DEE" w:rsidR="00662399" w:rsidRPr="004A3138" w:rsidRDefault="00662399" w:rsidP="002A6B08">
            <w:pPr>
              <w:rPr>
                <w:color w:val="FFFFFF" w:themeColor="background1"/>
              </w:rPr>
            </w:pPr>
            <w:r w:rsidRPr="004A3138">
              <w:rPr>
                <w:color w:val="FFFFFF" w:themeColor="background1"/>
              </w:rPr>
              <w:t>Date of Revision</w:t>
            </w:r>
          </w:p>
        </w:tc>
        <w:tc>
          <w:tcPr>
            <w:tcW w:w="3418" w:type="dxa"/>
            <w:shd w:val="clear" w:color="auto" w:fill="832630"/>
          </w:tcPr>
          <w:p w14:paraId="7CC71758" w14:textId="39B0CF1C" w:rsidR="00662399" w:rsidRPr="004A3138" w:rsidRDefault="00662399" w:rsidP="002A6B08">
            <w:pPr>
              <w:rPr>
                <w:color w:val="FFFFFF" w:themeColor="background1"/>
              </w:rPr>
            </w:pPr>
            <w:r w:rsidRPr="004A3138">
              <w:rPr>
                <w:color w:val="FFFFFF" w:themeColor="background1"/>
              </w:rPr>
              <w:t>Change Made</w:t>
            </w:r>
          </w:p>
        </w:tc>
        <w:tc>
          <w:tcPr>
            <w:tcW w:w="1980" w:type="dxa"/>
            <w:shd w:val="clear" w:color="auto" w:fill="832630"/>
          </w:tcPr>
          <w:p w14:paraId="7CD7979B" w14:textId="2CA41016" w:rsidR="00662399" w:rsidRPr="004A3138" w:rsidRDefault="00662399" w:rsidP="002A6B08">
            <w:pPr>
              <w:rPr>
                <w:color w:val="FFFFFF" w:themeColor="background1"/>
              </w:rPr>
            </w:pPr>
            <w:r w:rsidRPr="004A3138">
              <w:rPr>
                <w:color w:val="FFFFFF" w:themeColor="background1"/>
              </w:rPr>
              <w:t>Revision #</w:t>
            </w:r>
          </w:p>
        </w:tc>
        <w:tc>
          <w:tcPr>
            <w:tcW w:w="1615" w:type="dxa"/>
            <w:shd w:val="clear" w:color="auto" w:fill="832630"/>
          </w:tcPr>
          <w:p w14:paraId="75E01343" w14:textId="674681A0" w:rsidR="00662399" w:rsidRPr="004A3138" w:rsidRDefault="00662399" w:rsidP="002A6B08">
            <w:pPr>
              <w:rPr>
                <w:color w:val="FFFFFF" w:themeColor="background1"/>
              </w:rPr>
            </w:pPr>
            <w:r w:rsidRPr="004A3138">
              <w:rPr>
                <w:color w:val="FFFFFF" w:themeColor="background1"/>
              </w:rPr>
              <w:t>Initials</w:t>
            </w:r>
          </w:p>
        </w:tc>
      </w:tr>
      <w:tr w:rsidR="004A3138" w14:paraId="37499FFA" w14:textId="77777777" w:rsidTr="00662399">
        <w:trPr>
          <w:trHeight w:val="576"/>
        </w:trPr>
        <w:tc>
          <w:tcPr>
            <w:tcW w:w="2337" w:type="dxa"/>
          </w:tcPr>
          <w:p w14:paraId="02269EF6" w14:textId="0C4A22CE" w:rsidR="004A3138" w:rsidRDefault="004A3138" w:rsidP="004A3138">
            <w:r w:rsidRPr="00774DE4">
              <w:rPr>
                <w:bCs/>
              </w:rPr>
              <w:t>Original Date 6/2016</w:t>
            </w:r>
          </w:p>
        </w:tc>
        <w:tc>
          <w:tcPr>
            <w:tcW w:w="3418" w:type="dxa"/>
          </w:tcPr>
          <w:p w14:paraId="1EACE2D7" w14:textId="3182277F" w:rsidR="004A3138" w:rsidRDefault="004A3138" w:rsidP="004A3138"/>
        </w:tc>
        <w:tc>
          <w:tcPr>
            <w:tcW w:w="1980" w:type="dxa"/>
          </w:tcPr>
          <w:p w14:paraId="698710AC" w14:textId="7F0A61BE" w:rsidR="004A3138" w:rsidRDefault="004A3138" w:rsidP="004A3138"/>
        </w:tc>
        <w:tc>
          <w:tcPr>
            <w:tcW w:w="1615" w:type="dxa"/>
          </w:tcPr>
          <w:p w14:paraId="7D977AA9" w14:textId="135D581F" w:rsidR="004A3138" w:rsidRDefault="004A3138" w:rsidP="004A3138"/>
        </w:tc>
      </w:tr>
      <w:tr w:rsidR="004A3138" w14:paraId="532F05AA" w14:textId="77777777" w:rsidTr="00662399">
        <w:trPr>
          <w:trHeight w:val="576"/>
        </w:trPr>
        <w:tc>
          <w:tcPr>
            <w:tcW w:w="2337" w:type="dxa"/>
          </w:tcPr>
          <w:p w14:paraId="1E8B19F5" w14:textId="1325E0DA" w:rsidR="004A3138" w:rsidRDefault="004A3138" w:rsidP="004A3138">
            <w:r w:rsidRPr="00774DE4">
              <w:t>June 2023</w:t>
            </w:r>
          </w:p>
        </w:tc>
        <w:tc>
          <w:tcPr>
            <w:tcW w:w="3418" w:type="dxa"/>
          </w:tcPr>
          <w:p w14:paraId="596F8134" w14:textId="55ACDE6A" w:rsidR="004A3138" w:rsidRDefault="004A3138" w:rsidP="004A3138">
            <w:r w:rsidRPr="00774DE4">
              <w:t>Updated to correct grammar and include language regarding health equity.</w:t>
            </w:r>
          </w:p>
        </w:tc>
        <w:tc>
          <w:tcPr>
            <w:tcW w:w="1980" w:type="dxa"/>
          </w:tcPr>
          <w:p w14:paraId="25BC8062" w14:textId="77777777" w:rsidR="004A3138" w:rsidRDefault="004A3138" w:rsidP="004A3138"/>
        </w:tc>
        <w:tc>
          <w:tcPr>
            <w:tcW w:w="1615" w:type="dxa"/>
          </w:tcPr>
          <w:p w14:paraId="4B95F6EF" w14:textId="77777777" w:rsidR="004A3138" w:rsidRDefault="004A3138" w:rsidP="004A3138"/>
        </w:tc>
      </w:tr>
      <w:tr w:rsidR="004A3138" w14:paraId="27D55E22" w14:textId="77777777" w:rsidTr="00662399">
        <w:trPr>
          <w:trHeight w:val="576"/>
        </w:trPr>
        <w:tc>
          <w:tcPr>
            <w:tcW w:w="2337" w:type="dxa"/>
          </w:tcPr>
          <w:p w14:paraId="4DF9389A" w14:textId="77777777" w:rsidR="004A3138" w:rsidRDefault="004A3138" w:rsidP="004A3138"/>
        </w:tc>
        <w:tc>
          <w:tcPr>
            <w:tcW w:w="3418" w:type="dxa"/>
          </w:tcPr>
          <w:p w14:paraId="6CFD50B9" w14:textId="77777777" w:rsidR="004A3138" w:rsidRDefault="004A3138" w:rsidP="004A3138"/>
        </w:tc>
        <w:tc>
          <w:tcPr>
            <w:tcW w:w="1980" w:type="dxa"/>
          </w:tcPr>
          <w:p w14:paraId="4D0EAECF" w14:textId="77777777" w:rsidR="004A3138" w:rsidRDefault="004A3138" w:rsidP="004A3138"/>
        </w:tc>
        <w:tc>
          <w:tcPr>
            <w:tcW w:w="1615" w:type="dxa"/>
          </w:tcPr>
          <w:p w14:paraId="475520BA" w14:textId="77777777" w:rsidR="004A3138" w:rsidRDefault="004A3138" w:rsidP="004A3138"/>
        </w:tc>
      </w:tr>
      <w:tr w:rsidR="004A3138" w14:paraId="2B114E52" w14:textId="77777777" w:rsidTr="00662399">
        <w:trPr>
          <w:trHeight w:val="576"/>
        </w:trPr>
        <w:tc>
          <w:tcPr>
            <w:tcW w:w="2337" w:type="dxa"/>
          </w:tcPr>
          <w:p w14:paraId="3F88FAAB" w14:textId="77777777" w:rsidR="004A3138" w:rsidRDefault="004A3138" w:rsidP="004A3138"/>
        </w:tc>
        <w:tc>
          <w:tcPr>
            <w:tcW w:w="3418" w:type="dxa"/>
          </w:tcPr>
          <w:p w14:paraId="0505546E" w14:textId="77777777" w:rsidR="004A3138" w:rsidRDefault="004A3138" w:rsidP="004A3138"/>
        </w:tc>
        <w:tc>
          <w:tcPr>
            <w:tcW w:w="1980" w:type="dxa"/>
          </w:tcPr>
          <w:p w14:paraId="3884BF6D" w14:textId="77777777" w:rsidR="004A3138" w:rsidRDefault="004A3138" w:rsidP="004A3138"/>
        </w:tc>
        <w:tc>
          <w:tcPr>
            <w:tcW w:w="1615" w:type="dxa"/>
          </w:tcPr>
          <w:p w14:paraId="57B08CAB" w14:textId="77777777" w:rsidR="004A3138" w:rsidRDefault="004A3138" w:rsidP="004A3138"/>
        </w:tc>
      </w:tr>
      <w:tr w:rsidR="004A3138" w14:paraId="02044909" w14:textId="77777777" w:rsidTr="00662399">
        <w:trPr>
          <w:trHeight w:val="576"/>
        </w:trPr>
        <w:tc>
          <w:tcPr>
            <w:tcW w:w="2337" w:type="dxa"/>
          </w:tcPr>
          <w:p w14:paraId="51F65D3B" w14:textId="77777777" w:rsidR="004A3138" w:rsidRDefault="004A3138" w:rsidP="004A3138"/>
        </w:tc>
        <w:tc>
          <w:tcPr>
            <w:tcW w:w="3418" w:type="dxa"/>
          </w:tcPr>
          <w:p w14:paraId="7363782C" w14:textId="77777777" w:rsidR="004A3138" w:rsidRDefault="004A3138" w:rsidP="004A3138"/>
        </w:tc>
        <w:tc>
          <w:tcPr>
            <w:tcW w:w="1980" w:type="dxa"/>
          </w:tcPr>
          <w:p w14:paraId="4A0624B9" w14:textId="77777777" w:rsidR="004A3138" w:rsidRDefault="004A3138" w:rsidP="004A3138"/>
        </w:tc>
        <w:tc>
          <w:tcPr>
            <w:tcW w:w="1615" w:type="dxa"/>
          </w:tcPr>
          <w:p w14:paraId="68BBA70B" w14:textId="77777777" w:rsidR="004A3138" w:rsidRDefault="004A3138" w:rsidP="004A3138"/>
        </w:tc>
      </w:tr>
      <w:tr w:rsidR="004A3138" w14:paraId="63D37EBD" w14:textId="77777777" w:rsidTr="00662399">
        <w:trPr>
          <w:trHeight w:val="576"/>
        </w:trPr>
        <w:tc>
          <w:tcPr>
            <w:tcW w:w="2337" w:type="dxa"/>
          </w:tcPr>
          <w:p w14:paraId="7972914B" w14:textId="77777777" w:rsidR="004A3138" w:rsidRDefault="004A3138" w:rsidP="004A3138"/>
        </w:tc>
        <w:tc>
          <w:tcPr>
            <w:tcW w:w="3418" w:type="dxa"/>
          </w:tcPr>
          <w:p w14:paraId="3B3CDED6" w14:textId="77777777" w:rsidR="004A3138" w:rsidRDefault="004A3138" w:rsidP="004A3138"/>
        </w:tc>
        <w:tc>
          <w:tcPr>
            <w:tcW w:w="1980" w:type="dxa"/>
          </w:tcPr>
          <w:p w14:paraId="293D9A93" w14:textId="77777777" w:rsidR="004A3138" w:rsidRDefault="004A3138" w:rsidP="004A3138"/>
        </w:tc>
        <w:tc>
          <w:tcPr>
            <w:tcW w:w="1615" w:type="dxa"/>
          </w:tcPr>
          <w:p w14:paraId="3B5FC348" w14:textId="77777777" w:rsidR="004A3138" w:rsidRDefault="004A3138" w:rsidP="004A3138"/>
        </w:tc>
      </w:tr>
      <w:tr w:rsidR="004A3138" w14:paraId="12C3287B" w14:textId="77777777" w:rsidTr="00662399">
        <w:trPr>
          <w:trHeight w:val="576"/>
        </w:trPr>
        <w:tc>
          <w:tcPr>
            <w:tcW w:w="2337" w:type="dxa"/>
          </w:tcPr>
          <w:p w14:paraId="43B213D8" w14:textId="77777777" w:rsidR="004A3138" w:rsidRDefault="004A3138" w:rsidP="004A3138"/>
        </w:tc>
        <w:tc>
          <w:tcPr>
            <w:tcW w:w="3418" w:type="dxa"/>
          </w:tcPr>
          <w:p w14:paraId="21B010A0" w14:textId="77777777" w:rsidR="004A3138" w:rsidRDefault="004A3138" w:rsidP="004A3138"/>
        </w:tc>
        <w:tc>
          <w:tcPr>
            <w:tcW w:w="1980" w:type="dxa"/>
          </w:tcPr>
          <w:p w14:paraId="7A7A84B7" w14:textId="77777777" w:rsidR="004A3138" w:rsidRDefault="004A3138" w:rsidP="004A3138"/>
        </w:tc>
        <w:tc>
          <w:tcPr>
            <w:tcW w:w="1615" w:type="dxa"/>
          </w:tcPr>
          <w:p w14:paraId="49426255" w14:textId="77777777" w:rsidR="004A3138" w:rsidRDefault="004A3138" w:rsidP="004A3138"/>
        </w:tc>
      </w:tr>
    </w:tbl>
    <w:p w14:paraId="21FF816A" w14:textId="23660D26" w:rsidR="00662399" w:rsidRPr="00662399" w:rsidRDefault="00662399" w:rsidP="004D601E"/>
    <w:sectPr w:rsidR="00662399" w:rsidRPr="00662399" w:rsidSect="008217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E0671" w14:textId="77777777" w:rsidR="00F94FF5" w:rsidRDefault="00F94FF5" w:rsidP="002A6B08">
      <w:r>
        <w:separator/>
      </w:r>
    </w:p>
  </w:endnote>
  <w:endnote w:type="continuationSeparator" w:id="0">
    <w:p w14:paraId="003B544C" w14:textId="77777777" w:rsidR="00F94FF5" w:rsidRDefault="00F94FF5" w:rsidP="002A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08346" w14:textId="77777777" w:rsidR="00F3595F" w:rsidRDefault="00F3595F">
    <w:pPr>
      <w:pStyle w:val="Footer"/>
    </w:pPr>
  </w:p>
  <w:p w14:paraId="33F9C16E" w14:textId="77777777" w:rsidR="00395EEE" w:rsidRDefault="00395EEE"/>
  <w:p w14:paraId="181B6B4A" w14:textId="77777777" w:rsidR="00395EEE" w:rsidRDefault="00395E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F241" w14:textId="0EF4BCA0" w:rsidR="002B75B3" w:rsidRDefault="00F3595F" w:rsidP="002A6B08">
    <w:pPr>
      <w:pStyle w:val="Footer"/>
    </w:pPr>
    <w:r>
      <w:t xml:space="preserve">CMHPC Appendix </w:t>
    </w:r>
    <w:r w:rsidR="00750175">
      <w:t>A.</w:t>
    </w:r>
    <w:r w:rsidR="008E6E42">
      <w:t>5</w:t>
    </w:r>
    <w:r w:rsidR="00750175">
      <w:t>.</w:t>
    </w:r>
    <w:r w:rsidR="00BF52C1">
      <w:t>3</w:t>
    </w:r>
    <w:r w:rsidR="00821705">
      <w:t xml:space="preserve"> </w:t>
    </w:r>
    <w:r w:rsidR="00537E31">
      <w:t xml:space="preserve">Health Equity and </w:t>
    </w:r>
    <w:r w:rsidR="00750175">
      <w:t>Access and Functional Needs</w:t>
    </w:r>
    <w:r>
      <w:tab/>
    </w:r>
    <w:r>
      <w:fldChar w:fldCharType="begin"/>
    </w:r>
    <w:r>
      <w:instrText xml:space="preserve"> PAGE   \* MERGEFORMAT </w:instrText>
    </w:r>
    <w:r>
      <w:fldChar w:fldCharType="separate"/>
    </w:r>
    <w:r>
      <w:rPr>
        <w:noProof/>
      </w:rPr>
      <w:t>1</w:t>
    </w:r>
    <w:r>
      <w:rPr>
        <w:noProof/>
      </w:rPr>
      <w:fldChar w:fldCharType="end"/>
    </w:r>
  </w:p>
  <w:p w14:paraId="1A5C11C7" w14:textId="77777777" w:rsidR="00395EEE" w:rsidRDefault="00395EEE"/>
  <w:p w14:paraId="2E419905" w14:textId="77777777" w:rsidR="00395EEE" w:rsidRDefault="00395E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4954" w14:textId="77777777" w:rsidR="00F3595F" w:rsidRDefault="00F3595F">
    <w:pPr>
      <w:pStyle w:val="Footer"/>
    </w:pPr>
  </w:p>
  <w:p w14:paraId="5CDA3629" w14:textId="77777777" w:rsidR="00395EEE" w:rsidRDefault="00395EEE"/>
  <w:p w14:paraId="2B76DCAE" w14:textId="77777777" w:rsidR="00395EEE" w:rsidRDefault="00395E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F4BD1" w14:textId="77777777" w:rsidR="00F94FF5" w:rsidRDefault="00F94FF5" w:rsidP="002A6B08">
      <w:r>
        <w:separator/>
      </w:r>
    </w:p>
  </w:footnote>
  <w:footnote w:type="continuationSeparator" w:id="0">
    <w:p w14:paraId="12774E4C" w14:textId="77777777" w:rsidR="00F94FF5" w:rsidRDefault="00F94FF5" w:rsidP="002A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783B" w14:textId="77777777" w:rsidR="00F3595F" w:rsidRDefault="00F3595F">
    <w:pPr>
      <w:pStyle w:val="Header"/>
    </w:pPr>
  </w:p>
  <w:p w14:paraId="5D880000" w14:textId="77777777" w:rsidR="00395EEE" w:rsidRDefault="00395EEE"/>
  <w:p w14:paraId="55DBE70C" w14:textId="77777777" w:rsidR="00395EEE" w:rsidRDefault="00395E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ABD3" w14:textId="77777777" w:rsidR="00F3595F" w:rsidRDefault="00F3595F">
    <w:pPr>
      <w:pStyle w:val="Header"/>
    </w:pPr>
  </w:p>
  <w:p w14:paraId="167C7E17" w14:textId="77777777" w:rsidR="00395EEE" w:rsidRDefault="00395EEE"/>
  <w:p w14:paraId="24D0A43E" w14:textId="77777777" w:rsidR="00395EEE" w:rsidRDefault="00395E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48A3" w14:textId="77777777" w:rsidR="00F3595F" w:rsidRDefault="00F3595F">
    <w:pPr>
      <w:pStyle w:val="Header"/>
    </w:pPr>
  </w:p>
  <w:p w14:paraId="3D94190A" w14:textId="77777777" w:rsidR="00395EEE" w:rsidRDefault="00395EEE"/>
  <w:p w14:paraId="72D4466B" w14:textId="77777777" w:rsidR="00395EEE" w:rsidRDefault="00395E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44A8"/>
    <w:multiLevelType w:val="hybridMultilevel"/>
    <w:tmpl w:val="E0F24CC4"/>
    <w:lvl w:ilvl="0" w:tplc="FFFFFFFF">
      <w:start w:val="1"/>
      <w:numFmt w:val="upperRoman"/>
      <w:lvlText w:val="%1."/>
      <w:lvlJc w:val="left"/>
      <w:pPr>
        <w:tabs>
          <w:tab w:val="num" w:pos="720"/>
        </w:tabs>
        <w:ind w:left="720" w:hanging="720"/>
      </w:pPr>
      <w:rPr>
        <w:rFonts w:hint="default"/>
      </w:rPr>
    </w:lvl>
    <w:lvl w:ilvl="1" w:tplc="FFFFFFFF">
      <w:start w:val="1"/>
      <w:numFmt w:val="lowerLetter"/>
      <w:lvlText w:val="%2."/>
      <w:lvlJc w:val="left"/>
      <w:pPr>
        <w:tabs>
          <w:tab w:val="num" w:pos="288"/>
        </w:tabs>
        <w:ind w:left="288"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tabs>
          <w:tab w:val="num" w:pos="1728"/>
        </w:tabs>
        <w:ind w:left="1728" w:hanging="360"/>
      </w:pPr>
    </w:lvl>
    <w:lvl w:ilvl="4" w:tplc="FFFFFFFF">
      <w:start w:val="1"/>
      <w:numFmt w:val="lowerLetter"/>
      <w:lvlText w:val="%5."/>
      <w:lvlJc w:val="left"/>
      <w:pPr>
        <w:tabs>
          <w:tab w:val="num" w:pos="2448"/>
        </w:tabs>
        <w:ind w:left="2448" w:hanging="360"/>
      </w:pPr>
    </w:lvl>
    <w:lvl w:ilvl="5" w:tplc="FFFFFFFF">
      <w:start w:val="1"/>
      <w:numFmt w:val="lowerRoman"/>
      <w:lvlText w:val="%6."/>
      <w:lvlJc w:val="right"/>
      <w:pPr>
        <w:tabs>
          <w:tab w:val="num" w:pos="3168"/>
        </w:tabs>
        <w:ind w:left="3168" w:hanging="180"/>
      </w:pPr>
    </w:lvl>
    <w:lvl w:ilvl="6" w:tplc="FFFFFFFF" w:tentative="1">
      <w:start w:val="1"/>
      <w:numFmt w:val="decimal"/>
      <w:lvlText w:val="%7."/>
      <w:lvlJc w:val="left"/>
      <w:pPr>
        <w:tabs>
          <w:tab w:val="num" w:pos="3888"/>
        </w:tabs>
        <w:ind w:left="3888" w:hanging="360"/>
      </w:pPr>
    </w:lvl>
    <w:lvl w:ilvl="7" w:tplc="FFFFFFFF" w:tentative="1">
      <w:start w:val="1"/>
      <w:numFmt w:val="lowerLetter"/>
      <w:lvlText w:val="%8."/>
      <w:lvlJc w:val="left"/>
      <w:pPr>
        <w:tabs>
          <w:tab w:val="num" w:pos="4608"/>
        </w:tabs>
        <w:ind w:left="4608" w:hanging="360"/>
      </w:pPr>
    </w:lvl>
    <w:lvl w:ilvl="8" w:tplc="FFFFFFFF" w:tentative="1">
      <w:start w:val="1"/>
      <w:numFmt w:val="lowerRoman"/>
      <w:lvlText w:val="%9."/>
      <w:lvlJc w:val="right"/>
      <w:pPr>
        <w:tabs>
          <w:tab w:val="num" w:pos="5328"/>
        </w:tabs>
        <w:ind w:left="5328" w:hanging="180"/>
      </w:pPr>
    </w:lvl>
  </w:abstractNum>
  <w:abstractNum w:abstractNumId="1" w15:restartNumberingAfterBreak="0">
    <w:nsid w:val="0EA3301A"/>
    <w:multiLevelType w:val="hybridMultilevel"/>
    <w:tmpl w:val="B226D08E"/>
    <w:lvl w:ilvl="0" w:tplc="04090013">
      <w:start w:val="1"/>
      <w:numFmt w:val="upperRoman"/>
      <w:lvlText w:val="%1."/>
      <w:lvlJc w:val="right"/>
      <w:pPr>
        <w:tabs>
          <w:tab w:val="num" w:pos="576"/>
        </w:tabs>
        <w:ind w:left="576" w:hanging="576"/>
      </w:pPr>
      <w:rPr>
        <w:rFonts w:hint="default"/>
      </w:rPr>
    </w:lvl>
    <w:lvl w:ilvl="1" w:tplc="04090019">
      <w:start w:val="1"/>
      <w:numFmt w:val="lowerLetter"/>
      <w:lvlText w:val="%2."/>
      <w:lvlJc w:val="left"/>
      <w:pPr>
        <w:tabs>
          <w:tab w:val="num" w:pos="288"/>
        </w:tabs>
        <w:ind w:left="288" w:hanging="360"/>
      </w:pPr>
    </w:lvl>
    <w:lvl w:ilvl="2" w:tplc="8D06CB82">
      <w:start w:val="1"/>
      <w:numFmt w:val="upperLetter"/>
      <w:lvlText w:val="%3."/>
      <w:lvlJc w:val="left"/>
      <w:pPr>
        <w:tabs>
          <w:tab w:val="num" w:pos="1188"/>
        </w:tabs>
        <w:ind w:left="1188" w:hanging="360"/>
      </w:pPr>
      <w:rPr>
        <w:rFonts w:hint="default"/>
        <w:b w:val="0"/>
      </w:rPr>
    </w:lvl>
    <w:lvl w:ilvl="3" w:tplc="0409000F">
      <w:start w:val="1"/>
      <w:numFmt w:val="decimal"/>
      <w:lvlText w:val="%4."/>
      <w:lvlJc w:val="left"/>
      <w:pPr>
        <w:tabs>
          <w:tab w:val="num" w:pos="1728"/>
        </w:tabs>
        <w:ind w:left="1728" w:hanging="360"/>
      </w:pPr>
    </w:lvl>
    <w:lvl w:ilvl="4" w:tplc="04090019">
      <w:start w:val="1"/>
      <w:numFmt w:val="lowerLetter"/>
      <w:lvlText w:val="%5."/>
      <w:lvlJc w:val="left"/>
      <w:pPr>
        <w:tabs>
          <w:tab w:val="num" w:pos="2448"/>
        </w:tabs>
        <w:ind w:left="2448" w:hanging="360"/>
      </w:pPr>
    </w:lvl>
    <w:lvl w:ilvl="5" w:tplc="0409001B">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2" w15:restartNumberingAfterBreak="0">
    <w:nsid w:val="1CC03416"/>
    <w:multiLevelType w:val="hybridMultilevel"/>
    <w:tmpl w:val="BC36D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051CD"/>
    <w:multiLevelType w:val="hybridMultilevel"/>
    <w:tmpl w:val="CD1E9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7158F"/>
    <w:multiLevelType w:val="hybridMultilevel"/>
    <w:tmpl w:val="8E8C0900"/>
    <w:lvl w:ilvl="0" w:tplc="BD6C4B6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288"/>
        </w:tabs>
        <w:ind w:left="288" w:hanging="360"/>
      </w:pPr>
    </w:lvl>
    <w:lvl w:ilvl="2" w:tplc="8D06CB82">
      <w:start w:val="1"/>
      <w:numFmt w:val="upperLetter"/>
      <w:lvlText w:val="%3."/>
      <w:lvlJc w:val="left"/>
      <w:pPr>
        <w:tabs>
          <w:tab w:val="num" w:pos="1188"/>
        </w:tabs>
        <w:ind w:left="1188" w:hanging="360"/>
      </w:pPr>
      <w:rPr>
        <w:rFonts w:hint="default"/>
        <w:b w:val="0"/>
      </w:rPr>
    </w:lvl>
    <w:lvl w:ilvl="3" w:tplc="0409000F">
      <w:start w:val="1"/>
      <w:numFmt w:val="decimal"/>
      <w:lvlText w:val="%4."/>
      <w:lvlJc w:val="left"/>
      <w:pPr>
        <w:tabs>
          <w:tab w:val="num" w:pos="1728"/>
        </w:tabs>
        <w:ind w:left="1728" w:hanging="360"/>
      </w:pPr>
    </w:lvl>
    <w:lvl w:ilvl="4" w:tplc="04090019">
      <w:start w:val="1"/>
      <w:numFmt w:val="lowerLetter"/>
      <w:lvlText w:val="%5."/>
      <w:lvlJc w:val="left"/>
      <w:pPr>
        <w:tabs>
          <w:tab w:val="num" w:pos="2448"/>
        </w:tabs>
        <w:ind w:left="2448" w:hanging="360"/>
      </w:pPr>
    </w:lvl>
    <w:lvl w:ilvl="5" w:tplc="0409001B">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5" w15:restartNumberingAfterBreak="0">
    <w:nsid w:val="4DA62DBA"/>
    <w:multiLevelType w:val="hybridMultilevel"/>
    <w:tmpl w:val="8E8C0900"/>
    <w:lvl w:ilvl="0" w:tplc="BD6C4B6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288"/>
        </w:tabs>
        <w:ind w:left="288" w:hanging="360"/>
      </w:pPr>
    </w:lvl>
    <w:lvl w:ilvl="2" w:tplc="8D06CB82">
      <w:start w:val="1"/>
      <w:numFmt w:val="upperLetter"/>
      <w:lvlText w:val="%3."/>
      <w:lvlJc w:val="left"/>
      <w:pPr>
        <w:tabs>
          <w:tab w:val="num" w:pos="1188"/>
        </w:tabs>
        <w:ind w:left="1188" w:hanging="360"/>
      </w:pPr>
      <w:rPr>
        <w:rFonts w:hint="default"/>
        <w:b w:val="0"/>
      </w:rPr>
    </w:lvl>
    <w:lvl w:ilvl="3" w:tplc="0409000F">
      <w:start w:val="1"/>
      <w:numFmt w:val="decimal"/>
      <w:lvlText w:val="%4."/>
      <w:lvlJc w:val="left"/>
      <w:pPr>
        <w:tabs>
          <w:tab w:val="num" w:pos="1728"/>
        </w:tabs>
        <w:ind w:left="1728" w:hanging="360"/>
      </w:pPr>
    </w:lvl>
    <w:lvl w:ilvl="4" w:tplc="04090019">
      <w:start w:val="1"/>
      <w:numFmt w:val="lowerLetter"/>
      <w:lvlText w:val="%5."/>
      <w:lvlJc w:val="left"/>
      <w:pPr>
        <w:tabs>
          <w:tab w:val="num" w:pos="2448"/>
        </w:tabs>
        <w:ind w:left="2448" w:hanging="360"/>
      </w:pPr>
    </w:lvl>
    <w:lvl w:ilvl="5" w:tplc="0409001B">
      <w:start w:val="1"/>
      <w:numFmt w:val="lowerRoman"/>
      <w:lvlText w:val="%6."/>
      <w:lvlJc w:val="right"/>
      <w:pPr>
        <w:tabs>
          <w:tab w:val="num" w:pos="3168"/>
        </w:tabs>
        <w:ind w:left="3168" w:hanging="180"/>
      </w:pPr>
    </w:lvl>
    <w:lvl w:ilvl="6" w:tplc="0409000F" w:tentative="1">
      <w:start w:val="1"/>
      <w:numFmt w:val="decimal"/>
      <w:lvlText w:val="%7."/>
      <w:lvlJc w:val="left"/>
      <w:pPr>
        <w:tabs>
          <w:tab w:val="num" w:pos="3888"/>
        </w:tabs>
        <w:ind w:left="3888" w:hanging="360"/>
      </w:pPr>
    </w:lvl>
    <w:lvl w:ilvl="7" w:tplc="04090019" w:tentative="1">
      <w:start w:val="1"/>
      <w:numFmt w:val="lowerLetter"/>
      <w:lvlText w:val="%8."/>
      <w:lvlJc w:val="left"/>
      <w:pPr>
        <w:tabs>
          <w:tab w:val="num" w:pos="4608"/>
        </w:tabs>
        <w:ind w:left="4608" w:hanging="360"/>
      </w:pPr>
    </w:lvl>
    <w:lvl w:ilvl="8" w:tplc="0409001B" w:tentative="1">
      <w:start w:val="1"/>
      <w:numFmt w:val="lowerRoman"/>
      <w:lvlText w:val="%9."/>
      <w:lvlJc w:val="right"/>
      <w:pPr>
        <w:tabs>
          <w:tab w:val="num" w:pos="5328"/>
        </w:tabs>
        <w:ind w:left="5328" w:hanging="180"/>
      </w:pPr>
    </w:lvl>
  </w:abstractNum>
  <w:abstractNum w:abstractNumId="6" w15:restartNumberingAfterBreak="0">
    <w:nsid w:val="7B7A465B"/>
    <w:multiLevelType w:val="hybridMultilevel"/>
    <w:tmpl w:val="A308EC7A"/>
    <w:lvl w:ilvl="0" w:tplc="FFFFFFFF">
      <w:start w:val="1"/>
      <w:numFmt w:val="upperRoman"/>
      <w:lvlText w:val="%1."/>
      <w:lvlJc w:val="right"/>
      <w:pPr>
        <w:tabs>
          <w:tab w:val="num" w:pos="576"/>
        </w:tabs>
        <w:ind w:left="576" w:hanging="576"/>
      </w:pPr>
      <w:rPr>
        <w:rFonts w:hint="default"/>
      </w:rPr>
    </w:lvl>
    <w:lvl w:ilvl="1" w:tplc="FFFFFFFF">
      <w:start w:val="1"/>
      <w:numFmt w:val="lowerLetter"/>
      <w:lvlText w:val="%2."/>
      <w:lvlJc w:val="left"/>
      <w:pPr>
        <w:tabs>
          <w:tab w:val="num" w:pos="288"/>
        </w:tabs>
        <w:ind w:left="288"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tabs>
          <w:tab w:val="num" w:pos="1728"/>
        </w:tabs>
        <w:ind w:left="1728" w:hanging="360"/>
      </w:pPr>
    </w:lvl>
    <w:lvl w:ilvl="4" w:tplc="FFFFFFFF">
      <w:start w:val="1"/>
      <w:numFmt w:val="lowerLetter"/>
      <w:lvlText w:val="%5."/>
      <w:lvlJc w:val="left"/>
      <w:pPr>
        <w:tabs>
          <w:tab w:val="num" w:pos="2448"/>
        </w:tabs>
        <w:ind w:left="2448" w:hanging="360"/>
      </w:pPr>
    </w:lvl>
    <w:lvl w:ilvl="5" w:tplc="FFFFFFFF">
      <w:start w:val="1"/>
      <w:numFmt w:val="lowerRoman"/>
      <w:lvlText w:val="%6."/>
      <w:lvlJc w:val="right"/>
      <w:pPr>
        <w:tabs>
          <w:tab w:val="num" w:pos="3168"/>
        </w:tabs>
        <w:ind w:left="3168" w:hanging="180"/>
      </w:pPr>
    </w:lvl>
    <w:lvl w:ilvl="6" w:tplc="FFFFFFFF" w:tentative="1">
      <w:start w:val="1"/>
      <w:numFmt w:val="decimal"/>
      <w:lvlText w:val="%7."/>
      <w:lvlJc w:val="left"/>
      <w:pPr>
        <w:tabs>
          <w:tab w:val="num" w:pos="3888"/>
        </w:tabs>
        <w:ind w:left="3888" w:hanging="360"/>
      </w:pPr>
    </w:lvl>
    <w:lvl w:ilvl="7" w:tplc="FFFFFFFF" w:tentative="1">
      <w:start w:val="1"/>
      <w:numFmt w:val="lowerLetter"/>
      <w:lvlText w:val="%8."/>
      <w:lvlJc w:val="left"/>
      <w:pPr>
        <w:tabs>
          <w:tab w:val="num" w:pos="4608"/>
        </w:tabs>
        <w:ind w:left="4608" w:hanging="360"/>
      </w:pPr>
    </w:lvl>
    <w:lvl w:ilvl="8" w:tplc="FFFFFFFF" w:tentative="1">
      <w:start w:val="1"/>
      <w:numFmt w:val="lowerRoman"/>
      <w:lvlText w:val="%9."/>
      <w:lvlJc w:val="right"/>
      <w:pPr>
        <w:tabs>
          <w:tab w:val="num" w:pos="5328"/>
        </w:tabs>
        <w:ind w:left="5328" w:hanging="180"/>
      </w:pPr>
    </w:lvl>
  </w:abstractNum>
  <w:num w:numId="1" w16cid:durableId="2120253361">
    <w:abstractNumId w:val="5"/>
  </w:num>
  <w:num w:numId="2" w16cid:durableId="249244035">
    <w:abstractNumId w:val="1"/>
  </w:num>
  <w:num w:numId="3" w16cid:durableId="1079139151">
    <w:abstractNumId w:val="4"/>
  </w:num>
  <w:num w:numId="4" w16cid:durableId="1047292415">
    <w:abstractNumId w:val="2"/>
  </w:num>
  <w:num w:numId="5" w16cid:durableId="357898420">
    <w:abstractNumId w:val="0"/>
  </w:num>
  <w:num w:numId="6" w16cid:durableId="1641036125">
    <w:abstractNumId w:val="6"/>
  </w:num>
  <w:num w:numId="7" w16cid:durableId="120193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TM0NDMwNrU0NzdQ0lEKTi0uzszPAykwrgUAgA9OiCwAAAA="/>
  </w:docVars>
  <w:rsids>
    <w:rsidRoot w:val="002B75B3"/>
    <w:rsid w:val="00044636"/>
    <w:rsid w:val="00060624"/>
    <w:rsid w:val="000A14DC"/>
    <w:rsid w:val="000A7CA0"/>
    <w:rsid w:val="000F1700"/>
    <w:rsid w:val="00114AA1"/>
    <w:rsid w:val="00152F47"/>
    <w:rsid w:val="00155C7B"/>
    <w:rsid w:val="00226A25"/>
    <w:rsid w:val="0028607F"/>
    <w:rsid w:val="002A5FDA"/>
    <w:rsid w:val="002A6B08"/>
    <w:rsid w:val="002B75B3"/>
    <w:rsid w:val="00395EEE"/>
    <w:rsid w:val="00424C7A"/>
    <w:rsid w:val="004A3138"/>
    <w:rsid w:val="004D3907"/>
    <w:rsid w:val="004D601E"/>
    <w:rsid w:val="005003DF"/>
    <w:rsid w:val="005066ED"/>
    <w:rsid w:val="00537E31"/>
    <w:rsid w:val="0056148F"/>
    <w:rsid w:val="00662399"/>
    <w:rsid w:val="006B17DB"/>
    <w:rsid w:val="006C6663"/>
    <w:rsid w:val="007215B7"/>
    <w:rsid w:val="00750175"/>
    <w:rsid w:val="007B3ED0"/>
    <w:rsid w:val="00821705"/>
    <w:rsid w:val="00895C6A"/>
    <w:rsid w:val="0089667E"/>
    <w:rsid w:val="008C06D5"/>
    <w:rsid w:val="008E6E42"/>
    <w:rsid w:val="009F4691"/>
    <w:rsid w:val="00AD214E"/>
    <w:rsid w:val="00B271A5"/>
    <w:rsid w:val="00B45071"/>
    <w:rsid w:val="00BB07CE"/>
    <w:rsid w:val="00BF52C1"/>
    <w:rsid w:val="00C41487"/>
    <w:rsid w:val="00C62DD5"/>
    <w:rsid w:val="00D150D4"/>
    <w:rsid w:val="00D65813"/>
    <w:rsid w:val="00DB2E93"/>
    <w:rsid w:val="00E353AD"/>
    <w:rsid w:val="00F3595F"/>
    <w:rsid w:val="00F9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E070"/>
  <w15:chartTrackingRefBased/>
  <w15:docId w15:val="{1A12AD9E-0061-41A5-AD82-BCA3768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08"/>
    <w:rPr>
      <w:rFonts w:ascii="Calibri" w:hAnsi="Calibri"/>
      <w:szCs w:val="20"/>
    </w:rPr>
  </w:style>
  <w:style w:type="paragraph" w:styleId="Heading1">
    <w:name w:val="heading 1"/>
    <w:next w:val="Normal"/>
    <w:link w:val="Heading1Char"/>
    <w:autoRedefine/>
    <w:uiPriority w:val="9"/>
    <w:qFormat/>
    <w:rsid w:val="00AD214E"/>
    <w:pPr>
      <w:keepNext/>
      <w:keepLines/>
      <w:pBdr>
        <w:top w:val="single" w:sz="2" w:space="1" w:color="832630"/>
        <w:left w:val="single" w:sz="2" w:space="4" w:color="832630"/>
        <w:bottom w:val="single" w:sz="2" w:space="1" w:color="832630"/>
        <w:right w:val="single" w:sz="2" w:space="4" w:color="832630"/>
      </w:pBdr>
      <w:shd w:val="clear" w:color="auto" w:fill="832630"/>
      <w:spacing w:before="120" w:after="120"/>
      <w:jc w:val="center"/>
      <w:outlineLvl w:val="0"/>
    </w:pPr>
    <w:rPr>
      <w:rFonts w:ascii="Avenir Next LT Pro" w:eastAsiaTheme="majorEastAsia" w:hAnsi="Avenir Next LT Pro" w:cstheme="majorBidi"/>
      <w:color w:val="FFFFFF" w:themeColor="background1"/>
      <w:sz w:val="40"/>
      <w:szCs w:val="40"/>
    </w:rPr>
  </w:style>
  <w:style w:type="paragraph" w:styleId="Heading2">
    <w:name w:val="heading 2"/>
    <w:next w:val="Normal"/>
    <w:link w:val="Heading2Char"/>
    <w:autoRedefine/>
    <w:uiPriority w:val="9"/>
    <w:unhideWhenUsed/>
    <w:qFormat/>
    <w:rsid w:val="00AD214E"/>
    <w:pPr>
      <w:keepNext/>
      <w:keepLines/>
      <w:spacing w:before="160" w:after="80"/>
      <w:outlineLvl w:val="1"/>
    </w:pPr>
    <w:rPr>
      <w:rFonts w:ascii="Avenir Next LT Pro" w:eastAsiaTheme="majorEastAsia" w:hAnsi="Avenir Next LT Pro" w:cstheme="majorBidi"/>
      <w:color w:val="832630"/>
      <w:sz w:val="32"/>
      <w:szCs w:val="32"/>
    </w:rPr>
  </w:style>
  <w:style w:type="paragraph" w:styleId="Heading3">
    <w:name w:val="heading 3"/>
    <w:next w:val="Normal"/>
    <w:link w:val="Heading3Char"/>
    <w:autoRedefine/>
    <w:uiPriority w:val="9"/>
    <w:unhideWhenUsed/>
    <w:qFormat/>
    <w:rsid w:val="00AD214E"/>
    <w:pPr>
      <w:keepNext/>
      <w:keepLines/>
      <w:spacing w:before="160" w:after="80"/>
      <w:outlineLvl w:val="2"/>
    </w:pPr>
    <w:rPr>
      <w:rFonts w:ascii="Avenir Next LT Pro" w:eastAsiaTheme="majorEastAsia" w:hAnsi="Avenir Next LT Pro" w:cstheme="majorBidi"/>
      <w:i/>
      <w:color w:val="832630"/>
      <w:sz w:val="28"/>
      <w:szCs w:val="28"/>
    </w:rPr>
  </w:style>
  <w:style w:type="paragraph" w:styleId="Heading4">
    <w:name w:val="heading 4"/>
    <w:next w:val="Normal"/>
    <w:link w:val="Heading4Char"/>
    <w:autoRedefine/>
    <w:uiPriority w:val="9"/>
    <w:unhideWhenUsed/>
    <w:qFormat/>
    <w:rsid w:val="002A6B08"/>
    <w:pPr>
      <w:keepNext/>
      <w:keepLines/>
      <w:spacing w:before="80" w:after="40"/>
      <w:ind w:firstLine="720"/>
      <w:outlineLvl w:val="3"/>
    </w:pPr>
    <w:rPr>
      <w:rFonts w:ascii="Avenir Next LT Pro Demi" w:eastAsiaTheme="majorEastAsia" w:hAnsi="Avenir Next LT Pro Demi" w:cstheme="majorBidi"/>
      <w:b/>
      <w:iCs/>
      <w:sz w:val="24"/>
    </w:rPr>
  </w:style>
  <w:style w:type="paragraph" w:styleId="Heading5">
    <w:name w:val="heading 5"/>
    <w:next w:val="Normal"/>
    <w:link w:val="Heading5Char"/>
    <w:autoRedefine/>
    <w:uiPriority w:val="9"/>
    <w:semiHidden/>
    <w:unhideWhenUsed/>
    <w:qFormat/>
    <w:rsid w:val="002B75B3"/>
    <w:pPr>
      <w:keepNext/>
      <w:keepLines/>
      <w:spacing w:before="80" w:after="40"/>
      <w:outlineLvl w:val="4"/>
    </w:pPr>
    <w:rPr>
      <w:rFonts w:ascii="Avenir Next LT Pro" w:eastAsiaTheme="majorEastAsia" w:hAnsi="Avenir Next LT Pro" w:cstheme="majorBidi"/>
      <w:color w:val="747474" w:themeColor="background2" w:themeShade="80"/>
      <w:sz w:val="24"/>
    </w:rPr>
  </w:style>
  <w:style w:type="paragraph" w:styleId="Heading6">
    <w:name w:val="heading 6"/>
    <w:basedOn w:val="Normal"/>
    <w:next w:val="Normal"/>
    <w:link w:val="Heading6Char"/>
    <w:uiPriority w:val="9"/>
    <w:semiHidden/>
    <w:unhideWhenUsed/>
    <w:qFormat/>
    <w:rsid w:val="002B7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14E"/>
    <w:rPr>
      <w:rFonts w:ascii="Avenir Next LT Pro" w:eastAsiaTheme="majorEastAsia" w:hAnsi="Avenir Next LT Pro" w:cstheme="majorBidi"/>
      <w:color w:val="FFFFFF" w:themeColor="background1"/>
      <w:sz w:val="40"/>
      <w:szCs w:val="40"/>
      <w:shd w:val="clear" w:color="auto" w:fill="832630"/>
    </w:rPr>
  </w:style>
  <w:style w:type="character" w:customStyle="1" w:styleId="Heading2Char">
    <w:name w:val="Heading 2 Char"/>
    <w:basedOn w:val="DefaultParagraphFont"/>
    <w:link w:val="Heading2"/>
    <w:uiPriority w:val="9"/>
    <w:rsid w:val="00AD214E"/>
    <w:rPr>
      <w:rFonts w:ascii="Avenir Next LT Pro" w:eastAsiaTheme="majorEastAsia" w:hAnsi="Avenir Next LT Pro" w:cstheme="majorBidi"/>
      <w:color w:val="832630"/>
      <w:sz w:val="32"/>
      <w:szCs w:val="32"/>
    </w:rPr>
  </w:style>
  <w:style w:type="character" w:customStyle="1" w:styleId="Heading3Char">
    <w:name w:val="Heading 3 Char"/>
    <w:basedOn w:val="DefaultParagraphFont"/>
    <w:link w:val="Heading3"/>
    <w:uiPriority w:val="9"/>
    <w:rsid w:val="00AD214E"/>
    <w:rPr>
      <w:rFonts w:ascii="Avenir Next LT Pro" w:eastAsiaTheme="majorEastAsia" w:hAnsi="Avenir Next LT Pro" w:cstheme="majorBidi"/>
      <w:i/>
      <w:color w:val="832630"/>
      <w:sz w:val="28"/>
      <w:szCs w:val="28"/>
    </w:rPr>
  </w:style>
  <w:style w:type="character" w:customStyle="1" w:styleId="Heading4Char">
    <w:name w:val="Heading 4 Char"/>
    <w:basedOn w:val="DefaultParagraphFont"/>
    <w:link w:val="Heading4"/>
    <w:uiPriority w:val="9"/>
    <w:rsid w:val="002A6B08"/>
    <w:rPr>
      <w:rFonts w:ascii="Avenir Next LT Pro Demi" w:eastAsiaTheme="majorEastAsia" w:hAnsi="Avenir Next LT Pro Demi" w:cstheme="majorBidi"/>
      <w:b/>
      <w:iCs/>
      <w:sz w:val="24"/>
    </w:rPr>
  </w:style>
  <w:style w:type="character" w:customStyle="1" w:styleId="Heading5Char">
    <w:name w:val="Heading 5 Char"/>
    <w:basedOn w:val="DefaultParagraphFont"/>
    <w:link w:val="Heading5"/>
    <w:uiPriority w:val="9"/>
    <w:semiHidden/>
    <w:rsid w:val="002B75B3"/>
    <w:rPr>
      <w:rFonts w:ascii="Avenir Next LT Pro" w:eastAsiaTheme="majorEastAsia" w:hAnsi="Avenir Next LT Pro" w:cstheme="majorBidi"/>
      <w:color w:val="747474" w:themeColor="background2" w:themeShade="80"/>
      <w:sz w:val="24"/>
    </w:rPr>
  </w:style>
  <w:style w:type="character" w:customStyle="1" w:styleId="Heading6Char">
    <w:name w:val="Heading 6 Char"/>
    <w:basedOn w:val="DefaultParagraphFont"/>
    <w:link w:val="Heading6"/>
    <w:uiPriority w:val="9"/>
    <w:semiHidden/>
    <w:rsid w:val="002B7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5B3"/>
    <w:rPr>
      <w:rFonts w:eastAsiaTheme="majorEastAsia" w:cstheme="majorBidi"/>
      <w:color w:val="272727" w:themeColor="text1" w:themeTint="D8"/>
    </w:rPr>
  </w:style>
  <w:style w:type="paragraph" w:styleId="Title">
    <w:name w:val="Title"/>
    <w:basedOn w:val="Normal"/>
    <w:next w:val="Normal"/>
    <w:link w:val="TitleChar"/>
    <w:uiPriority w:val="10"/>
    <w:qFormat/>
    <w:rsid w:val="002B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5B3"/>
    <w:pPr>
      <w:spacing w:before="160"/>
      <w:jc w:val="center"/>
    </w:pPr>
    <w:rPr>
      <w:i/>
      <w:iCs/>
      <w:color w:val="404040" w:themeColor="text1" w:themeTint="BF"/>
    </w:rPr>
  </w:style>
  <w:style w:type="character" w:customStyle="1" w:styleId="QuoteChar">
    <w:name w:val="Quote Char"/>
    <w:basedOn w:val="DefaultParagraphFont"/>
    <w:link w:val="Quote"/>
    <w:uiPriority w:val="29"/>
    <w:rsid w:val="002B75B3"/>
    <w:rPr>
      <w:i/>
      <w:iCs/>
      <w:color w:val="404040" w:themeColor="text1" w:themeTint="BF"/>
    </w:rPr>
  </w:style>
  <w:style w:type="paragraph" w:styleId="ListParagraph">
    <w:name w:val="List Paragraph"/>
    <w:basedOn w:val="Normal"/>
    <w:uiPriority w:val="34"/>
    <w:qFormat/>
    <w:rsid w:val="002B75B3"/>
    <w:pPr>
      <w:ind w:left="720"/>
      <w:contextualSpacing/>
    </w:pPr>
  </w:style>
  <w:style w:type="character" w:styleId="IntenseEmphasis">
    <w:name w:val="Intense Emphasis"/>
    <w:basedOn w:val="DefaultParagraphFont"/>
    <w:uiPriority w:val="21"/>
    <w:qFormat/>
    <w:rsid w:val="002B75B3"/>
    <w:rPr>
      <w:i/>
      <w:iCs/>
      <w:color w:val="0F4761" w:themeColor="accent1" w:themeShade="BF"/>
    </w:rPr>
  </w:style>
  <w:style w:type="paragraph" w:styleId="IntenseQuote">
    <w:name w:val="Intense Quote"/>
    <w:basedOn w:val="Normal"/>
    <w:next w:val="Normal"/>
    <w:link w:val="IntenseQuoteChar"/>
    <w:uiPriority w:val="30"/>
    <w:qFormat/>
    <w:rsid w:val="002B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5B3"/>
    <w:rPr>
      <w:i/>
      <w:iCs/>
      <w:color w:val="0F4761" w:themeColor="accent1" w:themeShade="BF"/>
    </w:rPr>
  </w:style>
  <w:style w:type="character" w:styleId="IntenseReference">
    <w:name w:val="Intense Reference"/>
    <w:basedOn w:val="DefaultParagraphFont"/>
    <w:uiPriority w:val="32"/>
    <w:qFormat/>
    <w:rsid w:val="002B75B3"/>
    <w:rPr>
      <w:b/>
      <w:bCs/>
      <w:smallCaps/>
      <w:color w:val="0F4761" w:themeColor="accent1" w:themeShade="BF"/>
      <w:spacing w:val="5"/>
    </w:rPr>
  </w:style>
  <w:style w:type="paragraph" w:styleId="Header">
    <w:name w:val="header"/>
    <w:basedOn w:val="Normal"/>
    <w:link w:val="HeaderChar"/>
    <w:uiPriority w:val="99"/>
    <w:unhideWhenUsed/>
    <w:rsid w:val="002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B3"/>
  </w:style>
  <w:style w:type="paragraph" w:styleId="Footer">
    <w:name w:val="footer"/>
    <w:basedOn w:val="Normal"/>
    <w:link w:val="FooterChar"/>
    <w:uiPriority w:val="99"/>
    <w:unhideWhenUsed/>
    <w:rsid w:val="002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B3"/>
  </w:style>
  <w:style w:type="table" w:styleId="TableGrid">
    <w:name w:val="Table Grid"/>
    <w:basedOn w:val="TableNormal"/>
    <w:uiPriority w:val="39"/>
    <w:rsid w:val="0066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399"/>
    <w:pPr>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662399"/>
    <w:pPr>
      <w:spacing w:after="100"/>
    </w:pPr>
  </w:style>
  <w:style w:type="character" w:styleId="Hyperlink">
    <w:name w:val="Hyperlink"/>
    <w:basedOn w:val="DefaultParagraphFont"/>
    <w:uiPriority w:val="99"/>
    <w:unhideWhenUsed/>
    <w:rsid w:val="00662399"/>
    <w:rPr>
      <w:color w:val="467886" w:themeColor="hyperlink"/>
      <w:u w:val="single"/>
    </w:rPr>
  </w:style>
  <w:style w:type="character" w:styleId="UnresolvedMention">
    <w:name w:val="Unresolved Mention"/>
    <w:basedOn w:val="DefaultParagraphFont"/>
    <w:uiPriority w:val="99"/>
    <w:semiHidden/>
    <w:unhideWhenUsed/>
    <w:rsid w:val="004A3138"/>
    <w:rPr>
      <w:color w:val="605E5C"/>
      <w:shd w:val="clear" w:color="auto" w:fill="E1DFDD"/>
    </w:rPr>
  </w:style>
  <w:style w:type="paragraph" w:styleId="Revision">
    <w:name w:val="Revision"/>
    <w:hidden/>
    <w:uiPriority w:val="99"/>
    <w:semiHidden/>
    <w:rsid w:val="00060624"/>
    <w:pPr>
      <w:spacing w:after="0" w:line="240" w:lineRule="auto"/>
    </w:pPr>
    <w:rPr>
      <w:rFonts w:ascii="Calibri" w:hAnsi="Calibri"/>
      <w:szCs w:val="20"/>
    </w:rPr>
  </w:style>
  <w:style w:type="character" w:styleId="CommentReference">
    <w:name w:val="annotation reference"/>
    <w:basedOn w:val="DefaultParagraphFont"/>
    <w:uiPriority w:val="99"/>
    <w:semiHidden/>
    <w:unhideWhenUsed/>
    <w:rsid w:val="00155C7B"/>
    <w:rPr>
      <w:sz w:val="16"/>
      <w:szCs w:val="16"/>
    </w:rPr>
  </w:style>
  <w:style w:type="paragraph" w:styleId="CommentText">
    <w:name w:val="annotation text"/>
    <w:basedOn w:val="Normal"/>
    <w:link w:val="CommentTextChar"/>
    <w:uiPriority w:val="99"/>
    <w:unhideWhenUsed/>
    <w:rsid w:val="00155C7B"/>
    <w:pPr>
      <w:spacing w:line="240" w:lineRule="auto"/>
    </w:pPr>
    <w:rPr>
      <w:sz w:val="20"/>
    </w:rPr>
  </w:style>
  <w:style w:type="character" w:customStyle="1" w:styleId="CommentTextChar">
    <w:name w:val="Comment Text Char"/>
    <w:basedOn w:val="DefaultParagraphFont"/>
    <w:link w:val="CommentText"/>
    <w:uiPriority w:val="99"/>
    <w:rsid w:val="00155C7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55C7B"/>
    <w:rPr>
      <w:b/>
      <w:bCs/>
    </w:rPr>
  </w:style>
  <w:style w:type="character" w:customStyle="1" w:styleId="CommentSubjectChar">
    <w:name w:val="Comment Subject Char"/>
    <w:basedOn w:val="CommentTextChar"/>
    <w:link w:val="CommentSubject"/>
    <w:uiPriority w:val="99"/>
    <w:semiHidden/>
    <w:rsid w:val="00155C7B"/>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communities/equity/index.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inorityhealth/publications/health_equity/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sprtracie.hhs.gov/technical-resources/resource/7333/hhs-aspr-access-and-functional-nee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state.mn.us/communities/practice/equityengage/network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9FFC-7521-4145-BD2D-B711A7E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1090</Words>
  <Characters>6411</Characters>
  <Application>Microsoft Office Word</Application>
  <DocSecurity>0</DocSecurity>
  <Lines>145</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Peterson</dc:creator>
  <cp:keywords/>
  <dc:description/>
  <cp:lastModifiedBy>Stoen, Shawn</cp:lastModifiedBy>
  <cp:revision>4</cp:revision>
  <dcterms:created xsi:type="dcterms:W3CDTF">2024-06-24T17:32:00Z</dcterms:created>
  <dcterms:modified xsi:type="dcterms:W3CDTF">2024-07-12T19:08:00Z</dcterms:modified>
</cp:coreProperties>
</file>